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115"/>
        <w:tblW w:w="14596" w:type="dxa"/>
        <w:tblLayout w:type="fixed"/>
        <w:tblLook w:val="04A0" w:firstRow="1" w:lastRow="0" w:firstColumn="1" w:lastColumn="0" w:noHBand="0" w:noVBand="1"/>
      </w:tblPr>
      <w:tblGrid>
        <w:gridCol w:w="2726"/>
        <w:gridCol w:w="1380"/>
        <w:gridCol w:w="10490"/>
      </w:tblGrid>
      <w:tr w:rsidR="007D78AF" w:rsidRPr="00152CF2" w14:paraId="3D804CC8" w14:textId="77777777" w:rsidTr="007D78AF">
        <w:tc>
          <w:tcPr>
            <w:tcW w:w="2726" w:type="dxa"/>
          </w:tcPr>
          <w:p w14:paraId="371057D3" w14:textId="77777777" w:rsidR="007D78AF" w:rsidRPr="00152CF2" w:rsidRDefault="007D78AF" w:rsidP="00FF631A">
            <w:pPr>
              <w:rPr>
                <w:rFonts w:ascii="Arial" w:hAnsi="Arial" w:cs="Arial"/>
                <w:sz w:val="20"/>
                <w:szCs w:val="20"/>
              </w:rPr>
            </w:pPr>
            <w:r w:rsidRPr="00152CF2">
              <w:rPr>
                <w:rFonts w:ascii="Arial" w:hAnsi="Arial" w:cs="Arial"/>
                <w:sz w:val="20"/>
                <w:szCs w:val="20"/>
              </w:rPr>
              <w:t xml:space="preserve">Annual Governance Statement </w:t>
            </w:r>
          </w:p>
          <w:p w14:paraId="0905F992" w14:textId="77777777" w:rsidR="007D78AF" w:rsidRPr="00152CF2" w:rsidRDefault="007D78AF" w:rsidP="00FF631A">
            <w:pPr>
              <w:rPr>
                <w:rFonts w:ascii="Arial" w:hAnsi="Arial" w:cs="Arial"/>
                <w:sz w:val="20"/>
                <w:szCs w:val="20"/>
              </w:rPr>
            </w:pPr>
          </w:p>
        </w:tc>
        <w:tc>
          <w:tcPr>
            <w:tcW w:w="1380" w:type="dxa"/>
          </w:tcPr>
          <w:p w14:paraId="45440731" w14:textId="77777777" w:rsidR="007D78AF" w:rsidRPr="00152CF2" w:rsidRDefault="007D78AF" w:rsidP="00FF631A">
            <w:pPr>
              <w:rPr>
                <w:rFonts w:ascii="Arial" w:hAnsi="Arial" w:cs="Arial"/>
                <w:sz w:val="20"/>
                <w:szCs w:val="20"/>
              </w:rPr>
            </w:pPr>
            <w:r w:rsidRPr="00152CF2">
              <w:rPr>
                <w:rFonts w:ascii="Arial" w:hAnsi="Arial" w:cs="Arial"/>
                <w:sz w:val="20"/>
                <w:szCs w:val="20"/>
              </w:rPr>
              <w:t>Not applicable</w:t>
            </w:r>
          </w:p>
        </w:tc>
        <w:tc>
          <w:tcPr>
            <w:tcW w:w="10490" w:type="dxa"/>
          </w:tcPr>
          <w:p w14:paraId="5DD4C2A2" w14:textId="77777777" w:rsidR="007D78AF" w:rsidRPr="00152CF2" w:rsidRDefault="007D78AF" w:rsidP="00FF631A">
            <w:pPr>
              <w:rPr>
                <w:rFonts w:ascii="Arial" w:hAnsi="Arial" w:cs="Arial"/>
                <w:sz w:val="20"/>
                <w:szCs w:val="20"/>
              </w:rPr>
            </w:pPr>
            <w:r w:rsidRPr="00152CF2">
              <w:rPr>
                <w:rFonts w:ascii="Arial" w:hAnsi="Arial" w:cs="Arial"/>
                <w:sz w:val="20"/>
                <w:szCs w:val="20"/>
              </w:rPr>
              <w:t>The review comprised of detailed testing and analysis of the Local Code of Corporate Governance and Service Assurance Statements completed by Directors.</w:t>
            </w:r>
          </w:p>
          <w:p w14:paraId="463BA6E7" w14:textId="77777777" w:rsidR="007D78AF" w:rsidRPr="00152CF2" w:rsidRDefault="007D78AF" w:rsidP="00FF631A">
            <w:pPr>
              <w:rPr>
                <w:rFonts w:ascii="Arial" w:hAnsi="Arial" w:cs="Arial"/>
                <w:sz w:val="20"/>
                <w:szCs w:val="20"/>
              </w:rPr>
            </w:pPr>
          </w:p>
          <w:p w14:paraId="797ED4E4" w14:textId="77777777" w:rsidR="007D78AF" w:rsidRPr="00152CF2" w:rsidRDefault="007D78AF" w:rsidP="00FF631A">
            <w:pPr>
              <w:rPr>
                <w:rFonts w:ascii="Arial" w:hAnsi="Arial" w:cs="Arial"/>
                <w:sz w:val="20"/>
                <w:szCs w:val="20"/>
              </w:rPr>
            </w:pPr>
            <w:r w:rsidRPr="00152CF2">
              <w:rPr>
                <w:rFonts w:ascii="Arial" w:hAnsi="Arial" w:cs="Arial"/>
                <w:sz w:val="20"/>
                <w:szCs w:val="20"/>
              </w:rPr>
              <w:t>Common themes of improvements are included within the Annual Governance Statement Action Plan 2022</w:t>
            </w:r>
          </w:p>
          <w:p w14:paraId="11BA1B07" w14:textId="77777777" w:rsidR="007D78AF" w:rsidRPr="00152CF2" w:rsidRDefault="007D78AF" w:rsidP="00FF631A">
            <w:pPr>
              <w:rPr>
                <w:rFonts w:ascii="Arial" w:hAnsi="Arial" w:cs="Arial"/>
                <w:sz w:val="20"/>
                <w:szCs w:val="20"/>
              </w:rPr>
            </w:pPr>
          </w:p>
        </w:tc>
      </w:tr>
      <w:tr w:rsidR="007D78AF" w:rsidRPr="00152CF2" w14:paraId="2AADBD72" w14:textId="77777777" w:rsidTr="007D78AF">
        <w:tc>
          <w:tcPr>
            <w:tcW w:w="2726" w:type="dxa"/>
          </w:tcPr>
          <w:p w14:paraId="7E0E7742" w14:textId="77777777" w:rsidR="007D78AF" w:rsidRPr="00152CF2" w:rsidRDefault="007D78AF" w:rsidP="00FF631A">
            <w:pPr>
              <w:rPr>
                <w:rFonts w:ascii="Arial" w:hAnsi="Arial" w:cs="Arial"/>
                <w:sz w:val="20"/>
                <w:szCs w:val="20"/>
              </w:rPr>
            </w:pPr>
            <w:r w:rsidRPr="00152CF2">
              <w:rPr>
                <w:rFonts w:ascii="Arial" w:hAnsi="Arial" w:cs="Arial"/>
                <w:sz w:val="20"/>
                <w:szCs w:val="20"/>
              </w:rPr>
              <w:t>Anti-Fraud &amp; Corruption</w:t>
            </w:r>
          </w:p>
          <w:p w14:paraId="0C0220AE" w14:textId="77777777" w:rsidR="007D78AF" w:rsidRPr="00152CF2" w:rsidRDefault="007D78AF" w:rsidP="00FF631A">
            <w:pPr>
              <w:rPr>
                <w:rFonts w:ascii="Arial" w:hAnsi="Arial" w:cs="Arial"/>
                <w:sz w:val="20"/>
                <w:szCs w:val="20"/>
              </w:rPr>
            </w:pPr>
          </w:p>
        </w:tc>
        <w:tc>
          <w:tcPr>
            <w:tcW w:w="1380" w:type="dxa"/>
          </w:tcPr>
          <w:p w14:paraId="48AC76DF" w14:textId="77777777" w:rsidR="007D78AF" w:rsidRPr="00152CF2" w:rsidRDefault="007D78AF" w:rsidP="00FF631A">
            <w:pPr>
              <w:rPr>
                <w:rFonts w:ascii="Arial" w:hAnsi="Arial" w:cs="Arial"/>
                <w:sz w:val="20"/>
                <w:szCs w:val="20"/>
              </w:rPr>
            </w:pPr>
            <w:r w:rsidRPr="00152CF2">
              <w:rPr>
                <w:rFonts w:ascii="Arial" w:hAnsi="Arial" w:cs="Arial"/>
                <w:sz w:val="20"/>
                <w:szCs w:val="20"/>
              </w:rPr>
              <w:t>Not applicable</w:t>
            </w:r>
          </w:p>
        </w:tc>
        <w:tc>
          <w:tcPr>
            <w:tcW w:w="10490" w:type="dxa"/>
          </w:tcPr>
          <w:p w14:paraId="1B5923AD" w14:textId="77777777" w:rsidR="007D78AF" w:rsidRPr="00152CF2" w:rsidRDefault="007D78AF" w:rsidP="00FF631A">
            <w:pPr>
              <w:rPr>
                <w:rFonts w:ascii="Arial" w:hAnsi="Arial" w:cs="Arial"/>
                <w:sz w:val="20"/>
                <w:szCs w:val="20"/>
              </w:rPr>
            </w:pPr>
            <w:r w:rsidRPr="00152CF2">
              <w:rPr>
                <w:rFonts w:ascii="Arial" w:hAnsi="Arial" w:cs="Arial"/>
                <w:sz w:val="20"/>
                <w:szCs w:val="20"/>
              </w:rPr>
              <w:t>A full review of the Council’s probity policies was undertaken and approved by the Governance Committee.  All policies are available to officers on Connect and the Council website.</w:t>
            </w:r>
          </w:p>
          <w:p w14:paraId="45BA7572" w14:textId="77777777" w:rsidR="007D78AF" w:rsidRPr="00152CF2" w:rsidRDefault="007D78AF" w:rsidP="00FF631A">
            <w:pPr>
              <w:rPr>
                <w:rFonts w:ascii="Arial" w:hAnsi="Arial" w:cs="Arial"/>
                <w:sz w:val="20"/>
                <w:szCs w:val="20"/>
              </w:rPr>
            </w:pPr>
          </w:p>
          <w:p w14:paraId="1D3868D6" w14:textId="122AEF8B" w:rsidR="007D78AF" w:rsidRPr="00152CF2" w:rsidRDefault="007D78AF" w:rsidP="00FF631A">
            <w:pPr>
              <w:rPr>
                <w:rFonts w:ascii="Arial" w:hAnsi="Arial" w:cs="Arial"/>
                <w:sz w:val="20"/>
                <w:szCs w:val="20"/>
              </w:rPr>
            </w:pPr>
            <w:r w:rsidRPr="00152CF2">
              <w:rPr>
                <w:rFonts w:ascii="Arial" w:hAnsi="Arial" w:cs="Arial"/>
                <w:sz w:val="20"/>
                <w:szCs w:val="20"/>
              </w:rPr>
              <w:t>Throughout the year, fraud alerts received from various sources are circulated so that officers / the public are made aware of new threats and risks.</w:t>
            </w:r>
          </w:p>
          <w:p w14:paraId="143460E5" w14:textId="3875E9EA" w:rsidR="007D78AF" w:rsidRPr="00152CF2" w:rsidRDefault="007D78AF" w:rsidP="00FF631A">
            <w:pPr>
              <w:rPr>
                <w:rFonts w:ascii="Arial" w:hAnsi="Arial" w:cs="Arial"/>
                <w:sz w:val="20"/>
                <w:szCs w:val="20"/>
              </w:rPr>
            </w:pPr>
          </w:p>
          <w:p w14:paraId="1E9B7CBE" w14:textId="114D06D1" w:rsidR="007D78AF" w:rsidRPr="00152CF2" w:rsidRDefault="007D78AF" w:rsidP="00FF631A">
            <w:pPr>
              <w:rPr>
                <w:rFonts w:ascii="Arial" w:hAnsi="Arial" w:cs="Arial"/>
                <w:sz w:val="20"/>
                <w:szCs w:val="20"/>
              </w:rPr>
            </w:pPr>
            <w:r w:rsidRPr="00152CF2">
              <w:rPr>
                <w:rFonts w:ascii="Arial" w:hAnsi="Arial" w:cs="Arial"/>
                <w:sz w:val="20"/>
                <w:szCs w:val="20"/>
              </w:rPr>
              <w:t xml:space="preserve">Fraud and Corruption mandatory training module </w:t>
            </w:r>
            <w:r w:rsidR="00152CF2" w:rsidRPr="00152CF2">
              <w:rPr>
                <w:rFonts w:ascii="Arial" w:hAnsi="Arial" w:cs="Arial"/>
                <w:sz w:val="20"/>
                <w:szCs w:val="20"/>
              </w:rPr>
              <w:t xml:space="preserve">has been </w:t>
            </w:r>
            <w:r w:rsidRPr="00152CF2">
              <w:rPr>
                <w:rFonts w:ascii="Arial" w:hAnsi="Arial" w:cs="Arial"/>
                <w:sz w:val="20"/>
                <w:szCs w:val="20"/>
              </w:rPr>
              <w:t xml:space="preserve">developed </w:t>
            </w:r>
            <w:r w:rsidR="00152CF2" w:rsidRPr="00152CF2">
              <w:rPr>
                <w:rFonts w:ascii="Arial" w:hAnsi="Arial" w:cs="Arial"/>
                <w:sz w:val="20"/>
                <w:szCs w:val="20"/>
              </w:rPr>
              <w:t xml:space="preserve">and is available </w:t>
            </w:r>
            <w:r w:rsidRPr="00152CF2">
              <w:rPr>
                <w:rFonts w:ascii="Arial" w:hAnsi="Arial" w:cs="Arial"/>
                <w:sz w:val="20"/>
                <w:szCs w:val="20"/>
              </w:rPr>
              <w:t xml:space="preserve">on the Learning Hub.  </w:t>
            </w:r>
          </w:p>
          <w:p w14:paraId="181AAC17" w14:textId="77777777" w:rsidR="007D78AF" w:rsidRPr="00152CF2" w:rsidRDefault="007D78AF" w:rsidP="00FF631A">
            <w:pPr>
              <w:rPr>
                <w:rFonts w:ascii="Arial" w:hAnsi="Arial" w:cs="Arial"/>
                <w:sz w:val="20"/>
                <w:szCs w:val="20"/>
              </w:rPr>
            </w:pPr>
          </w:p>
        </w:tc>
      </w:tr>
      <w:tr w:rsidR="007D78AF" w:rsidRPr="00152CF2" w14:paraId="62164A1A" w14:textId="77777777" w:rsidTr="006B2DC7">
        <w:trPr>
          <w:trHeight w:val="1655"/>
        </w:trPr>
        <w:tc>
          <w:tcPr>
            <w:tcW w:w="2726" w:type="dxa"/>
          </w:tcPr>
          <w:p w14:paraId="66497F4D" w14:textId="106B77CD" w:rsidR="007D78AF" w:rsidRPr="00152CF2" w:rsidRDefault="007D78AF" w:rsidP="00FF631A">
            <w:pPr>
              <w:rPr>
                <w:rFonts w:ascii="Arial" w:hAnsi="Arial" w:cs="Arial"/>
                <w:sz w:val="20"/>
                <w:szCs w:val="20"/>
              </w:rPr>
            </w:pPr>
            <w:r w:rsidRPr="00152CF2">
              <w:rPr>
                <w:rFonts w:ascii="Arial" w:hAnsi="Arial" w:cs="Arial"/>
                <w:sz w:val="20"/>
                <w:szCs w:val="20"/>
              </w:rPr>
              <w:t>National Fraud Initiative</w:t>
            </w:r>
            <w:r w:rsidR="006B2DC7">
              <w:rPr>
                <w:rFonts w:ascii="Arial" w:hAnsi="Arial" w:cs="Arial"/>
                <w:sz w:val="20"/>
                <w:szCs w:val="20"/>
              </w:rPr>
              <w:t xml:space="preserve"> (NFI)</w:t>
            </w:r>
          </w:p>
        </w:tc>
        <w:tc>
          <w:tcPr>
            <w:tcW w:w="1380" w:type="dxa"/>
          </w:tcPr>
          <w:p w14:paraId="2CA5925A" w14:textId="77777777" w:rsidR="007D78AF" w:rsidRPr="00152CF2" w:rsidRDefault="007D78AF" w:rsidP="00FF631A">
            <w:pPr>
              <w:rPr>
                <w:rFonts w:ascii="Arial" w:hAnsi="Arial" w:cs="Arial"/>
                <w:sz w:val="20"/>
                <w:szCs w:val="20"/>
              </w:rPr>
            </w:pPr>
            <w:r w:rsidRPr="00152CF2">
              <w:rPr>
                <w:rFonts w:ascii="Arial" w:hAnsi="Arial" w:cs="Arial"/>
                <w:sz w:val="20"/>
                <w:szCs w:val="20"/>
              </w:rPr>
              <w:t>Not applicable</w:t>
            </w:r>
          </w:p>
        </w:tc>
        <w:tc>
          <w:tcPr>
            <w:tcW w:w="10490" w:type="dxa"/>
          </w:tcPr>
          <w:p w14:paraId="5BD8136C" w14:textId="46E44172" w:rsidR="006B2DC7" w:rsidRPr="006B2DC7" w:rsidRDefault="006B2DC7" w:rsidP="006B2DC7">
            <w:pPr>
              <w:pStyle w:val="Heading2"/>
              <w:outlineLvl w:val="1"/>
              <w:rPr>
                <w:rFonts w:ascii="Arial" w:hAnsi="Arial" w:cs="Arial"/>
                <w:b w:val="0"/>
                <w:bCs w:val="0"/>
                <w:sz w:val="20"/>
                <w:szCs w:val="20"/>
              </w:rPr>
            </w:pPr>
            <w:r w:rsidRPr="006B2DC7">
              <w:rPr>
                <w:rFonts w:ascii="Arial" w:hAnsi="Arial" w:cs="Arial"/>
                <w:b w:val="0"/>
                <w:bCs w:val="0"/>
                <w:sz w:val="20"/>
                <w:szCs w:val="20"/>
              </w:rPr>
              <w:t>Over the course of the past year the annual Council Tax Single Person Discount exercise data and COVID Business Grants second wave data has been submitted to the NFI.  The Council has continued to use the services offered by the NFI to undertake pre-payment checks to reduce the risk of grant payments being made either in error or fraudulent claims.  In addition</w:t>
            </w:r>
            <w:r>
              <w:rPr>
                <w:rFonts w:ascii="Arial" w:hAnsi="Arial" w:cs="Arial"/>
                <w:b w:val="0"/>
                <w:bCs w:val="0"/>
                <w:sz w:val="20"/>
                <w:szCs w:val="20"/>
              </w:rPr>
              <w:t xml:space="preserve">, </w:t>
            </w:r>
            <w:r w:rsidRPr="006B2DC7">
              <w:rPr>
                <w:rFonts w:ascii="Arial" w:hAnsi="Arial" w:cs="Arial"/>
                <w:b w:val="0"/>
                <w:bCs w:val="0"/>
                <w:sz w:val="20"/>
                <w:szCs w:val="20"/>
              </w:rPr>
              <w:t xml:space="preserve">investigations arising from the biennial NFI has led to the recovery of Council Tax (due to Council Tax Reductions being claimed in error) £7025 and the removal of 15 applicants from the housing waiting list. </w:t>
            </w:r>
          </w:p>
          <w:p w14:paraId="6B769D55" w14:textId="77777777" w:rsidR="007D78AF" w:rsidRPr="00152CF2" w:rsidRDefault="007D78AF" w:rsidP="00FF631A">
            <w:pPr>
              <w:rPr>
                <w:rFonts w:ascii="Arial" w:hAnsi="Arial" w:cs="Arial"/>
                <w:sz w:val="20"/>
                <w:szCs w:val="20"/>
              </w:rPr>
            </w:pPr>
          </w:p>
        </w:tc>
      </w:tr>
      <w:tr w:rsidR="007D78AF" w:rsidRPr="00152CF2" w14:paraId="0C083CF1" w14:textId="77777777" w:rsidTr="007D78AF">
        <w:tc>
          <w:tcPr>
            <w:tcW w:w="2726" w:type="dxa"/>
          </w:tcPr>
          <w:p w14:paraId="0C25A988" w14:textId="77777777" w:rsidR="007D78AF" w:rsidRPr="00152CF2" w:rsidRDefault="007D78AF" w:rsidP="00FF631A">
            <w:pPr>
              <w:rPr>
                <w:rFonts w:ascii="Arial" w:hAnsi="Arial" w:cs="Arial"/>
                <w:sz w:val="20"/>
                <w:szCs w:val="20"/>
              </w:rPr>
            </w:pPr>
            <w:r w:rsidRPr="00152CF2">
              <w:rPr>
                <w:rFonts w:ascii="Arial" w:hAnsi="Arial" w:cs="Arial"/>
                <w:sz w:val="20"/>
                <w:szCs w:val="20"/>
              </w:rPr>
              <w:t>COVID Support Work</w:t>
            </w:r>
          </w:p>
          <w:p w14:paraId="1BE570F8" w14:textId="77777777" w:rsidR="007D78AF" w:rsidRPr="00152CF2" w:rsidRDefault="007D78AF" w:rsidP="00FF631A">
            <w:pPr>
              <w:rPr>
                <w:rFonts w:ascii="Arial" w:hAnsi="Arial" w:cs="Arial"/>
                <w:sz w:val="20"/>
                <w:szCs w:val="20"/>
              </w:rPr>
            </w:pPr>
          </w:p>
        </w:tc>
        <w:tc>
          <w:tcPr>
            <w:tcW w:w="1380" w:type="dxa"/>
          </w:tcPr>
          <w:p w14:paraId="7E9BFF80" w14:textId="77777777" w:rsidR="007D78AF" w:rsidRPr="00152CF2" w:rsidRDefault="007D78AF" w:rsidP="00FF631A">
            <w:pPr>
              <w:rPr>
                <w:rFonts w:ascii="Arial" w:hAnsi="Arial" w:cs="Arial"/>
                <w:sz w:val="20"/>
                <w:szCs w:val="20"/>
              </w:rPr>
            </w:pPr>
            <w:r w:rsidRPr="00152CF2">
              <w:rPr>
                <w:rFonts w:ascii="Arial" w:hAnsi="Arial" w:cs="Arial"/>
                <w:sz w:val="20"/>
                <w:szCs w:val="20"/>
              </w:rPr>
              <w:t>Not applicable</w:t>
            </w:r>
          </w:p>
          <w:p w14:paraId="4C2B942A" w14:textId="17E67179" w:rsidR="007D78AF" w:rsidRPr="00152CF2" w:rsidRDefault="007D78AF" w:rsidP="00FF631A">
            <w:pPr>
              <w:rPr>
                <w:rFonts w:ascii="Arial" w:hAnsi="Arial" w:cs="Arial"/>
                <w:sz w:val="20"/>
                <w:szCs w:val="20"/>
              </w:rPr>
            </w:pPr>
          </w:p>
        </w:tc>
        <w:tc>
          <w:tcPr>
            <w:tcW w:w="10490" w:type="dxa"/>
          </w:tcPr>
          <w:p w14:paraId="21C72E33" w14:textId="77777777" w:rsidR="006B2DC7" w:rsidRPr="006B2DC7" w:rsidRDefault="006B2DC7" w:rsidP="006B2DC7">
            <w:pPr>
              <w:spacing w:before="100" w:beforeAutospacing="1" w:after="100" w:afterAutospacing="1"/>
              <w:outlineLvl w:val="1"/>
              <w:rPr>
                <w:rFonts w:ascii="Arial" w:eastAsia="Times New Roman" w:hAnsi="Arial" w:cs="Arial"/>
                <w:sz w:val="20"/>
                <w:szCs w:val="20"/>
                <w:lang w:eastAsia="en-GB"/>
              </w:rPr>
            </w:pPr>
            <w:r w:rsidRPr="006B2DC7">
              <w:rPr>
                <w:rFonts w:ascii="Arial" w:eastAsia="Times New Roman" w:hAnsi="Arial" w:cs="Arial"/>
                <w:sz w:val="20"/>
                <w:szCs w:val="20"/>
                <w:lang w:eastAsia="en-GB"/>
              </w:rPr>
              <w:t xml:space="preserve">A considerable amount of work has been undertaken in support of the various grants paid over the past 12 months.  </w:t>
            </w:r>
          </w:p>
          <w:p w14:paraId="71441AAA" w14:textId="77777777" w:rsidR="006B2DC7" w:rsidRPr="006B2DC7" w:rsidRDefault="006B2DC7" w:rsidP="006B2DC7">
            <w:pPr>
              <w:spacing w:before="100" w:beforeAutospacing="1" w:after="100" w:afterAutospacing="1"/>
              <w:outlineLvl w:val="1"/>
              <w:rPr>
                <w:rFonts w:ascii="Arial" w:eastAsia="Times New Roman" w:hAnsi="Arial" w:cs="Arial"/>
                <w:sz w:val="20"/>
                <w:szCs w:val="20"/>
                <w:lang w:eastAsia="en-GB"/>
              </w:rPr>
            </w:pPr>
            <w:r w:rsidRPr="006B2DC7">
              <w:rPr>
                <w:rFonts w:ascii="Arial" w:eastAsia="Times New Roman" w:hAnsi="Arial" w:cs="Arial"/>
                <w:sz w:val="20"/>
                <w:szCs w:val="20"/>
                <w:lang w:eastAsia="en-GB"/>
              </w:rPr>
              <w:t xml:space="preserve">Newly introduced processes were considered by Internal Audit prior to implementation to provide assurance that they are robust, meet Government requirements and measures are in place to ensure fraudulent activity is minimised for grant payments.  </w:t>
            </w:r>
          </w:p>
          <w:p w14:paraId="6E056504" w14:textId="77777777" w:rsidR="007D78AF" w:rsidRDefault="006B2DC7" w:rsidP="006B2DC7">
            <w:pPr>
              <w:rPr>
                <w:rFonts w:ascii="Arial" w:eastAsia="Times New Roman" w:hAnsi="Arial" w:cs="Arial"/>
                <w:sz w:val="20"/>
                <w:szCs w:val="20"/>
              </w:rPr>
            </w:pPr>
            <w:r w:rsidRPr="006B2DC7">
              <w:rPr>
                <w:rFonts w:ascii="Arial" w:eastAsia="Times New Roman" w:hAnsi="Arial" w:cs="Arial"/>
                <w:sz w:val="20"/>
                <w:szCs w:val="20"/>
              </w:rPr>
              <w:t>Internal Audit participated in the BEIS post payment assurance verification process; providing the required evidence to support the payments made are compliant with the grant eligibility criteria.</w:t>
            </w:r>
          </w:p>
          <w:p w14:paraId="3EDFE055" w14:textId="2062167C" w:rsidR="006B2DC7" w:rsidRPr="00152CF2" w:rsidRDefault="006B2DC7" w:rsidP="006B2DC7">
            <w:pPr>
              <w:rPr>
                <w:rFonts w:ascii="Arial" w:hAnsi="Arial" w:cs="Arial"/>
                <w:sz w:val="20"/>
                <w:szCs w:val="20"/>
              </w:rPr>
            </w:pPr>
          </w:p>
        </w:tc>
      </w:tr>
      <w:tr w:rsidR="007D78AF" w:rsidRPr="00152CF2" w14:paraId="52FBE86A" w14:textId="77777777" w:rsidTr="007D78AF">
        <w:trPr>
          <w:trHeight w:val="595"/>
        </w:trPr>
        <w:tc>
          <w:tcPr>
            <w:tcW w:w="2726" w:type="dxa"/>
          </w:tcPr>
          <w:p w14:paraId="3E5E879C" w14:textId="7245BE40" w:rsidR="007D78AF" w:rsidRPr="00152CF2" w:rsidRDefault="007D78AF" w:rsidP="00FF631A">
            <w:pPr>
              <w:rPr>
                <w:rFonts w:ascii="Arial" w:hAnsi="Arial" w:cs="Arial"/>
                <w:sz w:val="20"/>
                <w:szCs w:val="20"/>
              </w:rPr>
            </w:pPr>
            <w:r w:rsidRPr="00152CF2">
              <w:rPr>
                <w:rFonts w:ascii="Arial" w:hAnsi="Arial" w:cs="Arial"/>
                <w:sz w:val="20"/>
                <w:szCs w:val="20"/>
              </w:rPr>
              <w:t>Health and Wellbeing Campus</w:t>
            </w:r>
          </w:p>
          <w:p w14:paraId="0608C1EB" w14:textId="77777777" w:rsidR="007D78AF" w:rsidRPr="00152CF2" w:rsidRDefault="007D78AF" w:rsidP="00FF631A">
            <w:pPr>
              <w:rPr>
                <w:rFonts w:ascii="Arial" w:hAnsi="Arial" w:cs="Arial"/>
                <w:sz w:val="20"/>
                <w:szCs w:val="20"/>
              </w:rPr>
            </w:pPr>
          </w:p>
        </w:tc>
        <w:tc>
          <w:tcPr>
            <w:tcW w:w="1380" w:type="dxa"/>
            <w:shd w:val="clear" w:color="auto" w:fill="FFFFFF" w:themeFill="background1"/>
          </w:tcPr>
          <w:p w14:paraId="48499D0D" w14:textId="77777777" w:rsidR="007D78AF" w:rsidRPr="00152CF2" w:rsidRDefault="007D78AF" w:rsidP="00FF631A">
            <w:pPr>
              <w:rPr>
                <w:rFonts w:ascii="Arial" w:hAnsi="Arial" w:cs="Arial"/>
                <w:sz w:val="20"/>
                <w:szCs w:val="20"/>
              </w:rPr>
            </w:pPr>
            <w:r w:rsidRPr="00152CF2">
              <w:rPr>
                <w:rFonts w:ascii="Arial" w:hAnsi="Arial" w:cs="Arial"/>
                <w:sz w:val="20"/>
                <w:szCs w:val="20"/>
              </w:rPr>
              <w:t>Limited</w:t>
            </w:r>
          </w:p>
        </w:tc>
        <w:tc>
          <w:tcPr>
            <w:tcW w:w="10490" w:type="dxa"/>
            <w:shd w:val="clear" w:color="auto" w:fill="FFFFFF" w:themeFill="background1"/>
          </w:tcPr>
          <w:p w14:paraId="3A6257BE" w14:textId="77777777" w:rsidR="007D78AF" w:rsidRDefault="007D78AF" w:rsidP="007D78AF">
            <w:pPr>
              <w:rPr>
                <w:rFonts w:ascii="Arial" w:hAnsi="Arial" w:cs="Arial"/>
                <w:sz w:val="20"/>
                <w:szCs w:val="20"/>
              </w:rPr>
            </w:pPr>
            <w:r w:rsidRPr="00152CF2">
              <w:rPr>
                <w:rFonts w:ascii="Arial" w:hAnsi="Arial" w:cs="Arial"/>
                <w:sz w:val="20"/>
                <w:szCs w:val="20"/>
              </w:rPr>
              <w:t>All documentation from the initial Internal Audit review carried out in 19/20 was re-examined and the report re-drafted.  The final report was presented to the Governance Committee in September 2021.</w:t>
            </w:r>
          </w:p>
          <w:p w14:paraId="77A293E0" w14:textId="77777777" w:rsidR="006B2DC7" w:rsidRDefault="006B2DC7" w:rsidP="007D78AF">
            <w:pPr>
              <w:rPr>
                <w:rFonts w:ascii="Arial" w:hAnsi="Arial" w:cs="Arial"/>
                <w:sz w:val="20"/>
                <w:szCs w:val="20"/>
              </w:rPr>
            </w:pPr>
          </w:p>
          <w:p w14:paraId="03C099F9" w14:textId="77777777" w:rsidR="006B2DC7" w:rsidRDefault="006B2DC7" w:rsidP="007D78AF">
            <w:pPr>
              <w:rPr>
                <w:rFonts w:ascii="Arial" w:hAnsi="Arial" w:cs="Arial"/>
                <w:sz w:val="20"/>
                <w:szCs w:val="20"/>
              </w:rPr>
            </w:pPr>
          </w:p>
          <w:p w14:paraId="5EBF2FA6" w14:textId="330FE493" w:rsidR="006B2DC7" w:rsidRPr="00152CF2" w:rsidRDefault="006B2DC7" w:rsidP="007D78AF">
            <w:pPr>
              <w:rPr>
                <w:rFonts w:ascii="Arial" w:hAnsi="Arial" w:cs="Arial"/>
                <w:sz w:val="20"/>
                <w:szCs w:val="20"/>
              </w:rPr>
            </w:pPr>
          </w:p>
        </w:tc>
      </w:tr>
      <w:tr w:rsidR="007D78AF" w:rsidRPr="00152CF2" w14:paraId="50DBC819" w14:textId="77777777" w:rsidTr="007D78AF">
        <w:tc>
          <w:tcPr>
            <w:tcW w:w="2726" w:type="dxa"/>
          </w:tcPr>
          <w:p w14:paraId="5CE25A48" w14:textId="77777777" w:rsidR="007D78AF" w:rsidRPr="00152CF2" w:rsidRDefault="007D78AF" w:rsidP="00FF631A">
            <w:pPr>
              <w:rPr>
                <w:rFonts w:ascii="Arial" w:hAnsi="Arial" w:cs="Arial"/>
                <w:sz w:val="20"/>
                <w:szCs w:val="20"/>
              </w:rPr>
            </w:pPr>
            <w:r w:rsidRPr="00152CF2">
              <w:rPr>
                <w:rFonts w:ascii="Arial" w:hAnsi="Arial" w:cs="Arial"/>
                <w:sz w:val="20"/>
                <w:szCs w:val="20"/>
              </w:rPr>
              <w:lastRenderedPageBreak/>
              <w:t>Council Tax</w:t>
            </w:r>
          </w:p>
        </w:tc>
        <w:tc>
          <w:tcPr>
            <w:tcW w:w="1380" w:type="dxa"/>
          </w:tcPr>
          <w:p w14:paraId="72AE517F" w14:textId="35447ECA" w:rsidR="007D78AF" w:rsidRPr="00152CF2" w:rsidRDefault="007D78AF" w:rsidP="00FF631A">
            <w:pPr>
              <w:rPr>
                <w:rFonts w:ascii="Arial" w:hAnsi="Arial" w:cs="Arial"/>
                <w:sz w:val="20"/>
                <w:szCs w:val="20"/>
              </w:rPr>
            </w:pPr>
            <w:r w:rsidRPr="00152CF2">
              <w:rPr>
                <w:rFonts w:ascii="Arial" w:hAnsi="Arial" w:cs="Arial"/>
                <w:sz w:val="20"/>
                <w:szCs w:val="20"/>
              </w:rPr>
              <w:t>Limited</w:t>
            </w:r>
          </w:p>
        </w:tc>
        <w:tc>
          <w:tcPr>
            <w:tcW w:w="10490" w:type="dxa"/>
          </w:tcPr>
          <w:p w14:paraId="6C6EFE3C" w14:textId="49713265" w:rsidR="007D78AF" w:rsidRPr="00152CF2" w:rsidRDefault="007D78AF" w:rsidP="00E80346">
            <w:pPr>
              <w:jc w:val="both"/>
              <w:rPr>
                <w:rFonts w:ascii="Arial" w:hAnsi="Arial" w:cs="Arial"/>
                <w:bCs/>
                <w:sz w:val="20"/>
                <w:szCs w:val="20"/>
                <w:lang w:val="en-US" w:eastAsia="en-GB"/>
              </w:rPr>
            </w:pPr>
            <w:r w:rsidRPr="00152CF2">
              <w:rPr>
                <w:rFonts w:ascii="Arial" w:hAnsi="Arial" w:cs="Arial"/>
                <w:sz w:val="20"/>
                <w:szCs w:val="20"/>
              </w:rPr>
              <w:t xml:space="preserve">The Service </w:t>
            </w:r>
            <w:r w:rsidRPr="00152CF2">
              <w:rPr>
                <w:rFonts w:ascii="Arial" w:hAnsi="Arial" w:cs="Arial"/>
                <w:bCs/>
                <w:sz w:val="20"/>
                <w:szCs w:val="20"/>
                <w:lang w:val="en-US" w:eastAsia="en-GB"/>
              </w:rPr>
              <w:t xml:space="preserve">has recently undergone significant changes over the last few months and during the course of our review it was established as a shared service with Chorley Council. A number of experienced officers have left the </w:t>
            </w:r>
            <w:proofErr w:type="spellStart"/>
            <w:r w:rsidRPr="00152CF2">
              <w:rPr>
                <w:rFonts w:ascii="Arial" w:hAnsi="Arial" w:cs="Arial"/>
                <w:bCs/>
                <w:sz w:val="20"/>
                <w:szCs w:val="20"/>
                <w:lang w:val="en-US" w:eastAsia="en-GB"/>
              </w:rPr>
              <w:t>organisation</w:t>
            </w:r>
            <w:proofErr w:type="spellEnd"/>
            <w:r w:rsidRPr="00152CF2">
              <w:rPr>
                <w:rFonts w:ascii="Arial" w:hAnsi="Arial" w:cs="Arial"/>
                <w:bCs/>
                <w:sz w:val="20"/>
                <w:szCs w:val="20"/>
                <w:lang w:val="en-US" w:eastAsia="en-GB"/>
              </w:rPr>
              <w:t xml:space="preserve">. </w:t>
            </w:r>
            <w:r w:rsidRPr="00152CF2">
              <w:rPr>
                <w:rFonts w:ascii="Arial" w:hAnsi="Arial" w:cs="Arial"/>
                <w:sz w:val="20"/>
                <w:szCs w:val="20"/>
              </w:rPr>
              <w:t>Furthermore, Revenues and Benefits Officers are providing ongoing assistance to colleagues in Gateway and due to this there is</w:t>
            </w:r>
            <w:r w:rsidRPr="00152CF2">
              <w:rPr>
                <w:rFonts w:ascii="Arial" w:hAnsi="Arial" w:cs="Arial"/>
                <w:bCs/>
                <w:sz w:val="20"/>
                <w:szCs w:val="20"/>
              </w:rPr>
              <w:t xml:space="preserve"> a backlog of approximately 6 weeks for the administration of day to day (incoming mail, discount applications and general enquiries) that is likely impact on the status of customer accounts.</w:t>
            </w:r>
          </w:p>
          <w:p w14:paraId="6C27AEFE" w14:textId="77777777" w:rsidR="007D78AF" w:rsidRPr="00152CF2" w:rsidRDefault="007D78AF" w:rsidP="00E80346">
            <w:pPr>
              <w:jc w:val="both"/>
              <w:rPr>
                <w:rFonts w:ascii="Arial" w:hAnsi="Arial" w:cs="Arial"/>
                <w:bCs/>
                <w:sz w:val="20"/>
                <w:szCs w:val="20"/>
                <w:lang w:val="en-US" w:eastAsia="en-GB"/>
              </w:rPr>
            </w:pPr>
          </w:p>
          <w:p w14:paraId="3488BE8B" w14:textId="60013FB7" w:rsidR="007D78AF" w:rsidRPr="00152CF2" w:rsidRDefault="007D78AF" w:rsidP="006B2DC7">
            <w:pPr>
              <w:jc w:val="both"/>
              <w:rPr>
                <w:rFonts w:ascii="Arial" w:hAnsi="Arial" w:cs="Arial"/>
                <w:color w:val="0070C0"/>
                <w:sz w:val="20"/>
                <w:szCs w:val="20"/>
              </w:rPr>
            </w:pPr>
            <w:r w:rsidRPr="00152CF2">
              <w:rPr>
                <w:rFonts w:ascii="Arial" w:hAnsi="Arial" w:cs="Arial"/>
                <w:sz w:val="20"/>
                <w:szCs w:val="20"/>
              </w:rPr>
              <w:t>Despite the above, processes in place for Council Tax are generally well established, however some key controls have not been operational or require strengthening</w:t>
            </w:r>
            <w:r w:rsidR="00152CF2" w:rsidRPr="00152CF2">
              <w:rPr>
                <w:rFonts w:ascii="Arial" w:hAnsi="Arial" w:cs="Arial"/>
                <w:sz w:val="20"/>
                <w:szCs w:val="20"/>
              </w:rPr>
              <w:t xml:space="preserve">.   Actions have been agreed with officers to mitigate the risks identified during the review. </w:t>
            </w:r>
          </w:p>
          <w:p w14:paraId="24797112" w14:textId="2199BE4A" w:rsidR="007D78AF" w:rsidRPr="00152CF2" w:rsidRDefault="007D78AF" w:rsidP="00152CF2">
            <w:pPr>
              <w:jc w:val="both"/>
              <w:rPr>
                <w:rFonts w:ascii="Arial" w:hAnsi="Arial" w:cs="Arial"/>
                <w:sz w:val="20"/>
                <w:szCs w:val="20"/>
              </w:rPr>
            </w:pPr>
          </w:p>
        </w:tc>
      </w:tr>
      <w:tr w:rsidR="007D78AF" w:rsidRPr="00152CF2" w14:paraId="12F824DB" w14:textId="77777777" w:rsidTr="007D78AF">
        <w:tc>
          <w:tcPr>
            <w:tcW w:w="2726" w:type="dxa"/>
          </w:tcPr>
          <w:p w14:paraId="1A98439F" w14:textId="77777777" w:rsidR="007D78AF" w:rsidRPr="00152CF2" w:rsidRDefault="007D78AF" w:rsidP="00FF631A">
            <w:pPr>
              <w:rPr>
                <w:rFonts w:ascii="Arial" w:hAnsi="Arial" w:cs="Arial"/>
                <w:sz w:val="20"/>
                <w:szCs w:val="20"/>
              </w:rPr>
            </w:pPr>
            <w:r w:rsidRPr="00152CF2">
              <w:rPr>
                <w:rFonts w:ascii="Arial" w:hAnsi="Arial" w:cs="Arial"/>
                <w:sz w:val="20"/>
                <w:szCs w:val="20"/>
              </w:rPr>
              <w:t>Business Rates</w:t>
            </w:r>
          </w:p>
        </w:tc>
        <w:tc>
          <w:tcPr>
            <w:tcW w:w="1380" w:type="dxa"/>
          </w:tcPr>
          <w:p w14:paraId="5E66EAC0" w14:textId="6B8AA21B" w:rsidR="007D78AF" w:rsidRPr="00152CF2" w:rsidRDefault="007D78AF" w:rsidP="00FF631A">
            <w:pPr>
              <w:rPr>
                <w:rFonts w:ascii="Arial" w:hAnsi="Arial" w:cs="Arial"/>
                <w:sz w:val="20"/>
                <w:szCs w:val="20"/>
              </w:rPr>
            </w:pPr>
            <w:r w:rsidRPr="00152CF2">
              <w:rPr>
                <w:rFonts w:ascii="Arial" w:hAnsi="Arial" w:cs="Arial"/>
                <w:sz w:val="20"/>
                <w:szCs w:val="20"/>
              </w:rPr>
              <w:t>Adequate</w:t>
            </w:r>
          </w:p>
        </w:tc>
        <w:tc>
          <w:tcPr>
            <w:tcW w:w="10490" w:type="dxa"/>
          </w:tcPr>
          <w:p w14:paraId="79E3B701" w14:textId="77777777" w:rsidR="00152CF2" w:rsidRPr="00152CF2" w:rsidRDefault="007D78AF" w:rsidP="00152CF2">
            <w:pPr>
              <w:rPr>
                <w:rFonts w:ascii="Arial" w:hAnsi="Arial" w:cs="Arial"/>
                <w:sz w:val="20"/>
                <w:szCs w:val="20"/>
              </w:rPr>
            </w:pPr>
            <w:r w:rsidRPr="00152CF2">
              <w:rPr>
                <w:rFonts w:ascii="Arial" w:hAnsi="Arial" w:cs="Arial"/>
                <w:sz w:val="20"/>
                <w:szCs w:val="20"/>
              </w:rPr>
              <w:t xml:space="preserve">Whilst processes in place for NNDR are generally well established some key controls have not been operational or require strengthening, largely due to the pandemic. </w:t>
            </w:r>
            <w:r w:rsidR="00152CF2" w:rsidRPr="00152CF2">
              <w:rPr>
                <w:rFonts w:ascii="Arial" w:hAnsi="Arial" w:cs="Arial"/>
                <w:sz w:val="20"/>
                <w:szCs w:val="20"/>
              </w:rPr>
              <w:t xml:space="preserve"> A range of management actions have been agreed to ensure the controls are re-instated or strengthened.</w:t>
            </w:r>
          </w:p>
          <w:p w14:paraId="2D48A63C" w14:textId="752A7BFE" w:rsidR="00152CF2" w:rsidRPr="00152CF2" w:rsidRDefault="00152CF2" w:rsidP="00152CF2">
            <w:pPr>
              <w:rPr>
                <w:rFonts w:ascii="Arial" w:hAnsi="Arial" w:cs="Arial"/>
                <w:sz w:val="20"/>
                <w:szCs w:val="20"/>
              </w:rPr>
            </w:pPr>
          </w:p>
        </w:tc>
      </w:tr>
      <w:tr w:rsidR="007D78AF" w:rsidRPr="00152CF2" w14:paraId="20405DD8" w14:textId="77777777" w:rsidTr="007D78AF">
        <w:tc>
          <w:tcPr>
            <w:tcW w:w="2726" w:type="dxa"/>
          </w:tcPr>
          <w:p w14:paraId="54AAA5FF" w14:textId="77777777" w:rsidR="007D78AF" w:rsidRPr="00152CF2" w:rsidRDefault="007D78AF" w:rsidP="00FF631A">
            <w:pPr>
              <w:rPr>
                <w:rFonts w:ascii="Arial" w:hAnsi="Arial" w:cs="Arial"/>
                <w:sz w:val="20"/>
                <w:szCs w:val="20"/>
              </w:rPr>
            </w:pPr>
            <w:r w:rsidRPr="00152CF2">
              <w:rPr>
                <w:rFonts w:ascii="Arial" w:hAnsi="Arial" w:cs="Arial"/>
                <w:sz w:val="20"/>
                <w:szCs w:val="20"/>
              </w:rPr>
              <w:t>Sundry Debtors</w:t>
            </w:r>
          </w:p>
        </w:tc>
        <w:tc>
          <w:tcPr>
            <w:tcW w:w="1380" w:type="dxa"/>
            <w:shd w:val="clear" w:color="auto" w:fill="FFFFFF" w:themeFill="background1"/>
          </w:tcPr>
          <w:p w14:paraId="31AF0992" w14:textId="77777777" w:rsidR="007D78AF" w:rsidRPr="00152CF2" w:rsidRDefault="007D78AF" w:rsidP="00FF631A">
            <w:pPr>
              <w:rPr>
                <w:rFonts w:ascii="Arial" w:hAnsi="Arial" w:cs="Arial"/>
                <w:sz w:val="20"/>
                <w:szCs w:val="20"/>
              </w:rPr>
            </w:pPr>
            <w:r w:rsidRPr="00152CF2">
              <w:rPr>
                <w:rFonts w:ascii="Arial" w:hAnsi="Arial" w:cs="Arial"/>
                <w:sz w:val="20"/>
                <w:szCs w:val="20"/>
              </w:rPr>
              <w:t>Substantial</w:t>
            </w:r>
          </w:p>
        </w:tc>
        <w:tc>
          <w:tcPr>
            <w:tcW w:w="10490" w:type="dxa"/>
          </w:tcPr>
          <w:p w14:paraId="230EE907" w14:textId="77777777" w:rsidR="007D78AF" w:rsidRPr="00152CF2" w:rsidRDefault="007D78AF" w:rsidP="00464B7A">
            <w:pPr>
              <w:rPr>
                <w:rFonts w:ascii="Arial" w:hAnsi="Arial" w:cs="Arial"/>
                <w:sz w:val="20"/>
                <w:szCs w:val="20"/>
              </w:rPr>
            </w:pPr>
            <w:r w:rsidRPr="00152CF2">
              <w:rPr>
                <w:rFonts w:ascii="Arial" w:hAnsi="Arial" w:cs="Arial"/>
                <w:bCs/>
                <w:iCs/>
                <w:sz w:val="20"/>
                <w:szCs w:val="20"/>
              </w:rPr>
              <w:t>This was a risk-based review and only minor i</w:t>
            </w:r>
            <w:r w:rsidRPr="00152CF2">
              <w:rPr>
                <w:rFonts w:ascii="Arial" w:hAnsi="Arial" w:cs="Arial"/>
                <w:sz w:val="20"/>
                <w:szCs w:val="20"/>
              </w:rPr>
              <w:t>mprovements are required to strengthen the current arrangements in place.</w:t>
            </w:r>
          </w:p>
          <w:p w14:paraId="0E0E73DC" w14:textId="77777777" w:rsidR="007D78AF" w:rsidRPr="00152CF2" w:rsidRDefault="007D78AF" w:rsidP="00FF631A">
            <w:pPr>
              <w:rPr>
                <w:rFonts w:ascii="Arial" w:hAnsi="Arial" w:cs="Arial"/>
                <w:sz w:val="20"/>
                <w:szCs w:val="20"/>
              </w:rPr>
            </w:pPr>
          </w:p>
        </w:tc>
      </w:tr>
      <w:tr w:rsidR="007D78AF" w:rsidRPr="00152CF2" w14:paraId="4196E0E5" w14:textId="77777777" w:rsidTr="007D78AF">
        <w:tc>
          <w:tcPr>
            <w:tcW w:w="2726" w:type="dxa"/>
          </w:tcPr>
          <w:p w14:paraId="605CE61B" w14:textId="3B78DE97" w:rsidR="007D78AF" w:rsidRPr="00152CF2" w:rsidRDefault="00F43552" w:rsidP="00FF631A">
            <w:pPr>
              <w:rPr>
                <w:rFonts w:ascii="Arial" w:hAnsi="Arial" w:cs="Arial"/>
                <w:sz w:val="20"/>
                <w:szCs w:val="20"/>
              </w:rPr>
            </w:pPr>
            <w:r>
              <w:rPr>
                <w:rFonts w:ascii="Arial" w:hAnsi="Arial" w:cs="Arial"/>
                <w:sz w:val="20"/>
                <w:szCs w:val="20"/>
              </w:rPr>
              <w:t>Customer Services Transformation Project</w:t>
            </w:r>
          </w:p>
        </w:tc>
        <w:tc>
          <w:tcPr>
            <w:tcW w:w="1380" w:type="dxa"/>
          </w:tcPr>
          <w:p w14:paraId="66F49450" w14:textId="77777777" w:rsidR="007D78AF" w:rsidRPr="00152CF2" w:rsidRDefault="007D78AF" w:rsidP="00FF631A">
            <w:pPr>
              <w:rPr>
                <w:rFonts w:ascii="Arial" w:hAnsi="Arial" w:cs="Arial"/>
                <w:sz w:val="20"/>
                <w:szCs w:val="20"/>
              </w:rPr>
            </w:pPr>
            <w:r w:rsidRPr="00152CF2">
              <w:rPr>
                <w:rFonts w:ascii="Arial" w:hAnsi="Arial" w:cs="Arial"/>
                <w:sz w:val="20"/>
                <w:szCs w:val="20"/>
              </w:rPr>
              <w:t xml:space="preserve">Not applicable </w:t>
            </w:r>
          </w:p>
        </w:tc>
        <w:tc>
          <w:tcPr>
            <w:tcW w:w="10490" w:type="dxa"/>
          </w:tcPr>
          <w:p w14:paraId="0D8606FF" w14:textId="60FF92DD" w:rsidR="007D78AF" w:rsidRPr="00152CF2" w:rsidRDefault="007D78AF" w:rsidP="00FF631A">
            <w:pPr>
              <w:rPr>
                <w:rFonts w:ascii="Arial" w:hAnsi="Arial" w:cs="Arial"/>
                <w:sz w:val="20"/>
                <w:szCs w:val="20"/>
              </w:rPr>
            </w:pPr>
            <w:r w:rsidRPr="00152CF2">
              <w:rPr>
                <w:rFonts w:ascii="Arial" w:hAnsi="Arial" w:cs="Arial"/>
                <w:sz w:val="20"/>
                <w:szCs w:val="20"/>
              </w:rPr>
              <w:t>Following the implementation of a Shared Service within Customer Services, Internal Audit have played an active role in the project team reviewing and aligning processes to ensure they are both robust and resilient.</w:t>
            </w:r>
          </w:p>
          <w:p w14:paraId="4FEAC097" w14:textId="50D81AB9" w:rsidR="007D78AF" w:rsidRPr="00152CF2" w:rsidRDefault="007D78AF" w:rsidP="00FF631A">
            <w:pPr>
              <w:rPr>
                <w:rFonts w:ascii="Arial" w:hAnsi="Arial" w:cs="Arial"/>
                <w:sz w:val="20"/>
                <w:szCs w:val="20"/>
              </w:rPr>
            </w:pPr>
          </w:p>
        </w:tc>
      </w:tr>
      <w:tr w:rsidR="007D78AF" w:rsidRPr="00152CF2" w14:paraId="3C696417" w14:textId="77777777" w:rsidTr="007D78AF">
        <w:tc>
          <w:tcPr>
            <w:tcW w:w="2726" w:type="dxa"/>
          </w:tcPr>
          <w:p w14:paraId="38118332" w14:textId="4DF3D60D" w:rsidR="007D78AF" w:rsidRPr="00152CF2" w:rsidRDefault="001929F2" w:rsidP="00FF631A">
            <w:pPr>
              <w:rPr>
                <w:rFonts w:ascii="Arial" w:hAnsi="Arial" w:cs="Arial"/>
                <w:sz w:val="20"/>
                <w:szCs w:val="20"/>
              </w:rPr>
            </w:pPr>
            <w:r>
              <w:rPr>
                <w:rFonts w:ascii="Arial" w:hAnsi="Arial" w:cs="Arial"/>
                <w:sz w:val="20"/>
                <w:szCs w:val="20"/>
              </w:rPr>
              <w:t xml:space="preserve">ICT - </w:t>
            </w:r>
            <w:r w:rsidR="007D78AF" w:rsidRPr="00152CF2">
              <w:rPr>
                <w:rFonts w:ascii="Arial" w:hAnsi="Arial" w:cs="Arial"/>
                <w:sz w:val="20"/>
                <w:szCs w:val="20"/>
              </w:rPr>
              <w:t xml:space="preserve">Audit </w:t>
            </w:r>
            <w:r w:rsidR="00152CF2" w:rsidRPr="00152CF2">
              <w:rPr>
                <w:rFonts w:ascii="Arial" w:hAnsi="Arial" w:cs="Arial"/>
                <w:sz w:val="20"/>
                <w:szCs w:val="20"/>
              </w:rPr>
              <w:t>N</w:t>
            </w:r>
            <w:r w:rsidR="007D78AF" w:rsidRPr="00152CF2">
              <w:rPr>
                <w:rFonts w:ascii="Arial" w:hAnsi="Arial" w:cs="Arial"/>
                <w:sz w:val="20"/>
                <w:szCs w:val="20"/>
              </w:rPr>
              <w:t xml:space="preserve">eeds </w:t>
            </w:r>
            <w:r w:rsidR="00152CF2" w:rsidRPr="00152CF2">
              <w:rPr>
                <w:rFonts w:ascii="Arial" w:hAnsi="Arial" w:cs="Arial"/>
                <w:sz w:val="20"/>
                <w:szCs w:val="20"/>
              </w:rPr>
              <w:t>A</w:t>
            </w:r>
            <w:r w:rsidR="007D78AF" w:rsidRPr="00152CF2">
              <w:rPr>
                <w:rFonts w:ascii="Arial" w:hAnsi="Arial" w:cs="Arial"/>
                <w:sz w:val="20"/>
                <w:szCs w:val="20"/>
              </w:rPr>
              <w:t>ssessment</w:t>
            </w:r>
          </w:p>
        </w:tc>
        <w:tc>
          <w:tcPr>
            <w:tcW w:w="1380" w:type="dxa"/>
          </w:tcPr>
          <w:p w14:paraId="12E2D9F4" w14:textId="7276A267" w:rsidR="007D78AF" w:rsidRPr="00152CF2" w:rsidRDefault="007D78AF" w:rsidP="00FF631A">
            <w:pPr>
              <w:rPr>
                <w:rFonts w:ascii="Arial" w:hAnsi="Arial" w:cs="Arial"/>
                <w:sz w:val="20"/>
                <w:szCs w:val="20"/>
              </w:rPr>
            </w:pPr>
            <w:r w:rsidRPr="00152CF2">
              <w:rPr>
                <w:rFonts w:ascii="Arial" w:hAnsi="Arial" w:cs="Arial"/>
                <w:sz w:val="20"/>
                <w:szCs w:val="20"/>
              </w:rPr>
              <w:t>Not applicable</w:t>
            </w:r>
          </w:p>
        </w:tc>
        <w:tc>
          <w:tcPr>
            <w:tcW w:w="10490" w:type="dxa"/>
          </w:tcPr>
          <w:p w14:paraId="12CED9E3" w14:textId="77777777" w:rsidR="007D78AF" w:rsidRPr="00152CF2" w:rsidRDefault="007D78AF" w:rsidP="00FF631A">
            <w:pPr>
              <w:rPr>
                <w:rFonts w:ascii="Arial" w:hAnsi="Arial" w:cs="Arial"/>
                <w:sz w:val="20"/>
                <w:szCs w:val="20"/>
              </w:rPr>
            </w:pPr>
            <w:r w:rsidRPr="00152CF2">
              <w:rPr>
                <w:rFonts w:ascii="Arial" w:hAnsi="Arial" w:cs="Arial"/>
                <w:sz w:val="20"/>
                <w:szCs w:val="20"/>
              </w:rPr>
              <w:t>To establish a framework of assurance within ICT, a comprehensive audit needs assessment was undertaken which involved gaining a full understanding of the both current status of ICT and future proposals.  This will be used to ensure reviews undertaken in 2022/23 are risk based, meaningful and targeted at high risk areas.</w:t>
            </w:r>
          </w:p>
          <w:p w14:paraId="23D00F61" w14:textId="47B200A0" w:rsidR="007D78AF" w:rsidRPr="00152CF2" w:rsidRDefault="007D78AF" w:rsidP="00FF631A">
            <w:pPr>
              <w:rPr>
                <w:rFonts w:ascii="Arial" w:hAnsi="Arial" w:cs="Arial"/>
                <w:sz w:val="20"/>
                <w:szCs w:val="20"/>
              </w:rPr>
            </w:pPr>
          </w:p>
        </w:tc>
      </w:tr>
      <w:tr w:rsidR="001929F2" w:rsidRPr="00152CF2" w14:paraId="77D09CA9" w14:textId="77777777" w:rsidTr="007D78AF">
        <w:tc>
          <w:tcPr>
            <w:tcW w:w="2726" w:type="dxa"/>
          </w:tcPr>
          <w:p w14:paraId="4EFC80A2" w14:textId="4EC773BB" w:rsidR="001929F2" w:rsidRDefault="001929F2" w:rsidP="00FF631A">
            <w:pPr>
              <w:rPr>
                <w:rFonts w:ascii="Arial" w:hAnsi="Arial" w:cs="Arial"/>
                <w:sz w:val="20"/>
                <w:szCs w:val="20"/>
              </w:rPr>
            </w:pPr>
            <w:r>
              <w:rPr>
                <w:rFonts w:ascii="Arial" w:hAnsi="Arial" w:cs="Arial"/>
                <w:sz w:val="20"/>
                <w:szCs w:val="20"/>
              </w:rPr>
              <w:t>ICT Review</w:t>
            </w:r>
          </w:p>
        </w:tc>
        <w:tc>
          <w:tcPr>
            <w:tcW w:w="1380" w:type="dxa"/>
          </w:tcPr>
          <w:p w14:paraId="47DFABC8" w14:textId="14B21825" w:rsidR="001929F2" w:rsidRPr="00152CF2" w:rsidRDefault="001929F2" w:rsidP="00FF631A">
            <w:pPr>
              <w:rPr>
                <w:rFonts w:ascii="Arial" w:hAnsi="Arial" w:cs="Arial"/>
                <w:sz w:val="20"/>
                <w:szCs w:val="20"/>
              </w:rPr>
            </w:pPr>
            <w:r>
              <w:rPr>
                <w:rFonts w:ascii="Arial" w:hAnsi="Arial" w:cs="Arial"/>
                <w:sz w:val="20"/>
                <w:szCs w:val="20"/>
              </w:rPr>
              <w:t>Deferred</w:t>
            </w:r>
          </w:p>
        </w:tc>
        <w:tc>
          <w:tcPr>
            <w:tcW w:w="10490" w:type="dxa"/>
          </w:tcPr>
          <w:p w14:paraId="5D6C4077" w14:textId="77777777" w:rsidR="001929F2" w:rsidRDefault="001929F2" w:rsidP="00FF631A">
            <w:pPr>
              <w:rPr>
                <w:rFonts w:ascii="Arial" w:hAnsi="Arial" w:cs="Arial"/>
                <w:sz w:val="20"/>
                <w:szCs w:val="20"/>
              </w:rPr>
            </w:pPr>
            <w:r w:rsidRPr="001929F2">
              <w:rPr>
                <w:rFonts w:ascii="Arial" w:hAnsi="Arial" w:cs="Arial"/>
                <w:sz w:val="20"/>
                <w:szCs w:val="20"/>
              </w:rPr>
              <w:t>This review was unable to be completed due to the implementation of the ICT Digital Strategy and on-going change within the ICT Service</w:t>
            </w:r>
            <w:r>
              <w:rPr>
                <w:rFonts w:ascii="Arial" w:hAnsi="Arial" w:cs="Arial"/>
                <w:sz w:val="20"/>
                <w:szCs w:val="20"/>
              </w:rPr>
              <w:t>.</w:t>
            </w:r>
          </w:p>
          <w:p w14:paraId="6ACDE4D5" w14:textId="4384EC5B" w:rsidR="001929F2" w:rsidRPr="001929F2" w:rsidRDefault="001929F2" w:rsidP="00FF631A">
            <w:pPr>
              <w:rPr>
                <w:rFonts w:ascii="Arial" w:hAnsi="Arial" w:cs="Arial"/>
                <w:sz w:val="20"/>
                <w:szCs w:val="20"/>
              </w:rPr>
            </w:pPr>
          </w:p>
        </w:tc>
      </w:tr>
      <w:tr w:rsidR="007D78AF" w:rsidRPr="00152CF2" w14:paraId="6FE77341" w14:textId="77777777" w:rsidTr="007D78AF">
        <w:tc>
          <w:tcPr>
            <w:tcW w:w="2726" w:type="dxa"/>
          </w:tcPr>
          <w:p w14:paraId="09E63D6E" w14:textId="6771CAFF" w:rsidR="007D78AF" w:rsidRPr="00152CF2" w:rsidRDefault="007D78AF" w:rsidP="00464B7A">
            <w:pPr>
              <w:rPr>
                <w:rFonts w:ascii="Arial" w:hAnsi="Arial" w:cs="Arial"/>
                <w:sz w:val="20"/>
                <w:szCs w:val="20"/>
              </w:rPr>
            </w:pPr>
            <w:r w:rsidRPr="00152CF2">
              <w:rPr>
                <w:rFonts w:ascii="Arial" w:hAnsi="Arial" w:cs="Arial"/>
                <w:sz w:val="20"/>
                <w:szCs w:val="20"/>
              </w:rPr>
              <w:t xml:space="preserve">Neighbourhoods </w:t>
            </w:r>
            <w:r w:rsidR="00152CF2" w:rsidRPr="00152CF2">
              <w:rPr>
                <w:rFonts w:ascii="Arial" w:hAnsi="Arial" w:cs="Arial"/>
                <w:sz w:val="20"/>
                <w:szCs w:val="20"/>
              </w:rPr>
              <w:t>R</w:t>
            </w:r>
            <w:r w:rsidRPr="00152CF2">
              <w:rPr>
                <w:rFonts w:ascii="Arial" w:hAnsi="Arial" w:cs="Arial"/>
                <w:sz w:val="20"/>
                <w:szCs w:val="20"/>
              </w:rPr>
              <w:t xml:space="preserve">ecord </w:t>
            </w:r>
            <w:r w:rsidR="00152CF2" w:rsidRPr="00152CF2">
              <w:rPr>
                <w:rFonts w:ascii="Arial" w:hAnsi="Arial" w:cs="Arial"/>
                <w:sz w:val="20"/>
                <w:szCs w:val="20"/>
              </w:rPr>
              <w:t>M</w:t>
            </w:r>
            <w:r w:rsidRPr="00152CF2">
              <w:rPr>
                <w:rFonts w:ascii="Arial" w:hAnsi="Arial" w:cs="Arial"/>
                <w:sz w:val="20"/>
                <w:szCs w:val="20"/>
              </w:rPr>
              <w:t>anagement</w:t>
            </w:r>
          </w:p>
          <w:p w14:paraId="4096AF83" w14:textId="77777777" w:rsidR="007D78AF" w:rsidRPr="00152CF2" w:rsidRDefault="007D78AF" w:rsidP="00FF631A">
            <w:pPr>
              <w:rPr>
                <w:rFonts w:ascii="Arial" w:hAnsi="Arial" w:cs="Arial"/>
                <w:sz w:val="20"/>
                <w:szCs w:val="20"/>
              </w:rPr>
            </w:pPr>
          </w:p>
        </w:tc>
        <w:tc>
          <w:tcPr>
            <w:tcW w:w="1380" w:type="dxa"/>
            <w:shd w:val="clear" w:color="auto" w:fill="FFFFFF" w:themeFill="background1"/>
          </w:tcPr>
          <w:p w14:paraId="6FD81339" w14:textId="3BD5D8C0" w:rsidR="007D78AF" w:rsidRPr="00152CF2" w:rsidRDefault="007D78AF" w:rsidP="00464B7A">
            <w:pPr>
              <w:rPr>
                <w:rFonts w:ascii="Arial" w:hAnsi="Arial" w:cs="Arial"/>
                <w:sz w:val="20"/>
                <w:szCs w:val="20"/>
              </w:rPr>
            </w:pPr>
            <w:r w:rsidRPr="00152CF2">
              <w:rPr>
                <w:rFonts w:ascii="Arial" w:hAnsi="Arial" w:cs="Arial"/>
                <w:sz w:val="20"/>
                <w:szCs w:val="20"/>
              </w:rPr>
              <w:t>Limited</w:t>
            </w:r>
          </w:p>
        </w:tc>
        <w:tc>
          <w:tcPr>
            <w:tcW w:w="10490" w:type="dxa"/>
          </w:tcPr>
          <w:p w14:paraId="51D732F5" w14:textId="77777777" w:rsidR="007D78AF" w:rsidRPr="00152CF2" w:rsidRDefault="007D78AF" w:rsidP="00464B7A">
            <w:pPr>
              <w:rPr>
                <w:rFonts w:ascii="Arial" w:hAnsi="Arial" w:cs="Arial"/>
                <w:sz w:val="20"/>
                <w:szCs w:val="20"/>
              </w:rPr>
            </w:pPr>
            <w:r w:rsidRPr="00152CF2">
              <w:rPr>
                <w:rFonts w:ascii="Arial" w:hAnsi="Arial" w:cs="Arial"/>
                <w:sz w:val="20"/>
                <w:szCs w:val="20"/>
              </w:rPr>
              <w:t xml:space="preserve">Neighbourhood Services maintain a core database for their Grounds Maintenance and </w:t>
            </w:r>
            <w:proofErr w:type="spellStart"/>
            <w:r w:rsidRPr="00152CF2">
              <w:rPr>
                <w:rFonts w:ascii="Arial" w:hAnsi="Arial" w:cs="Arial"/>
                <w:sz w:val="20"/>
                <w:szCs w:val="20"/>
              </w:rPr>
              <w:t>Streetscene</w:t>
            </w:r>
            <w:proofErr w:type="spellEnd"/>
            <w:r w:rsidRPr="00152CF2">
              <w:rPr>
                <w:rFonts w:ascii="Arial" w:hAnsi="Arial" w:cs="Arial"/>
                <w:sz w:val="20"/>
                <w:szCs w:val="20"/>
              </w:rPr>
              <w:t xml:space="preserve"> Services which encompasses records for inspections and maintenance schedules for work scheduling and ad hoc jobs.  </w:t>
            </w:r>
          </w:p>
          <w:p w14:paraId="40D1E7AA" w14:textId="0811BF56" w:rsidR="007D78AF" w:rsidRDefault="007D78AF" w:rsidP="007D78AF">
            <w:pPr>
              <w:rPr>
                <w:rFonts w:ascii="Arial" w:hAnsi="Arial" w:cs="Arial"/>
                <w:sz w:val="20"/>
                <w:szCs w:val="20"/>
              </w:rPr>
            </w:pPr>
            <w:r w:rsidRPr="00152CF2">
              <w:rPr>
                <w:rFonts w:ascii="Arial" w:hAnsi="Arial" w:cs="Arial"/>
                <w:sz w:val="20"/>
                <w:szCs w:val="20"/>
              </w:rPr>
              <w:t>The purpose of this review was to provide assurance or otherwise that the information held within the database is well maintained, up to date and supported with accurate records to aid with efficiencies and improve customer satisfaction with the Council’s outdoor spaces.</w:t>
            </w:r>
          </w:p>
          <w:p w14:paraId="2BE5F659" w14:textId="452C457F" w:rsidR="002C35B2" w:rsidRPr="002C35B2" w:rsidRDefault="002C35B2" w:rsidP="007D78AF">
            <w:pPr>
              <w:rPr>
                <w:rFonts w:ascii="Arial" w:hAnsi="Arial" w:cs="Arial"/>
                <w:sz w:val="20"/>
                <w:szCs w:val="20"/>
              </w:rPr>
            </w:pPr>
            <w:r w:rsidRPr="002C35B2">
              <w:rPr>
                <w:rFonts w:ascii="Arial" w:hAnsi="Arial" w:cs="Arial"/>
                <w:sz w:val="20"/>
                <w:szCs w:val="20"/>
              </w:rPr>
              <w:t>The review identified a number of key control issues</w:t>
            </w:r>
            <w:r>
              <w:rPr>
                <w:rFonts w:ascii="Arial" w:hAnsi="Arial" w:cs="Arial"/>
                <w:sz w:val="20"/>
                <w:szCs w:val="20"/>
              </w:rPr>
              <w:t xml:space="preserve"> and a full copy of the report was provided to members at the meeting in September 2021.</w:t>
            </w:r>
          </w:p>
          <w:p w14:paraId="4F665B5B" w14:textId="57931678" w:rsidR="007D78AF" w:rsidRPr="00152CF2" w:rsidRDefault="007D78AF" w:rsidP="007D78AF">
            <w:pPr>
              <w:rPr>
                <w:rFonts w:ascii="Arial" w:hAnsi="Arial" w:cs="Arial"/>
                <w:sz w:val="20"/>
                <w:szCs w:val="20"/>
              </w:rPr>
            </w:pPr>
          </w:p>
        </w:tc>
      </w:tr>
      <w:tr w:rsidR="007D78AF" w:rsidRPr="00152CF2" w14:paraId="537EF330" w14:textId="77777777" w:rsidTr="007D78AF">
        <w:tc>
          <w:tcPr>
            <w:tcW w:w="2726" w:type="dxa"/>
          </w:tcPr>
          <w:p w14:paraId="4E0B46E0" w14:textId="02A7D6EF" w:rsidR="007D78AF" w:rsidRPr="00152CF2" w:rsidRDefault="007D78AF" w:rsidP="00FF631A">
            <w:pPr>
              <w:rPr>
                <w:rFonts w:ascii="Arial" w:hAnsi="Arial" w:cs="Arial"/>
                <w:sz w:val="20"/>
                <w:szCs w:val="20"/>
              </w:rPr>
            </w:pPr>
            <w:r w:rsidRPr="00152CF2">
              <w:rPr>
                <w:rFonts w:ascii="Arial" w:hAnsi="Arial" w:cs="Arial"/>
                <w:sz w:val="20"/>
                <w:szCs w:val="20"/>
              </w:rPr>
              <w:lastRenderedPageBreak/>
              <w:t xml:space="preserve">Section 106 </w:t>
            </w:r>
            <w:r w:rsidR="00152CF2" w:rsidRPr="00152CF2">
              <w:rPr>
                <w:rFonts w:ascii="Arial" w:hAnsi="Arial" w:cs="Arial"/>
                <w:sz w:val="20"/>
                <w:szCs w:val="20"/>
              </w:rPr>
              <w:t>A</w:t>
            </w:r>
            <w:r w:rsidRPr="00152CF2">
              <w:rPr>
                <w:rFonts w:ascii="Arial" w:hAnsi="Arial" w:cs="Arial"/>
                <w:sz w:val="20"/>
                <w:szCs w:val="20"/>
              </w:rPr>
              <w:t>greements</w:t>
            </w:r>
          </w:p>
        </w:tc>
        <w:tc>
          <w:tcPr>
            <w:tcW w:w="1380" w:type="dxa"/>
          </w:tcPr>
          <w:p w14:paraId="21AAEB6C" w14:textId="6D310E51" w:rsidR="007D78AF" w:rsidRPr="00152CF2" w:rsidRDefault="006B2DC7" w:rsidP="00FF631A">
            <w:pPr>
              <w:rPr>
                <w:rFonts w:ascii="Arial" w:hAnsi="Arial" w:cs="Arial"/>
                <w:sz w:val="20"/>
                <w:szCs w:val="20"/>
              </w:rPr>
            </w:pPr>
            <w:r>
              <w:rPr>
                <w:rFonts w:ascii="Arial" w:hAnsi="Arial" w:cs="Arial"/>
                <w:sz w:val="20"/>
                <w:szCs w:val="20"/>
              </w:rPr>
              <w:t>Deferred</w:t>
            </w:r>
          </w:p>
        </w:tc>
        <w:tc>
          <w:tcPr>
            <w:tcW w:w="10490" w:type="dxa"/>
          </w:tcPr>
          <w:p w14:paraId="658222A7" w14:textId="77777777" w:rsidR="007D78AF" w:rsidRDefault="007D78AF" w:rsidP="007D78AF">
            <w:pPr>
              <w:rPr>
                <w:rFonts w:ascii="Arial" w:hAnsi="Arial" w:cs="Arial"/>
                <w:sz w:val="20"/>
                <w:szCs w:val="20"/>
              </w:rPr>
            </w:pPr>
            <w:r w:rsidRPr="00152CF2">
              <w:rPr>
                <w:rFonts w:ascii="Arial" w:hAnsi="Arial" w:cs="Arial"/>
                <w:sz w:val="20"/>
                <w:szCs w:val="20"/>
              </w:rPr>
              <w:t xml:space="preserve">As highlighted in the body of the report, this review has had to be deferred due to the loss of key personnel within Planning and Development.   This review will be considered for inclusion for the Internal Audit Plan October </w:t>
            </w:r>
            <w:r w:rsidR="00152CF2">
              <w:rPr>
                <w:rFonts w:ascii="Arial" w:hAnsi="Arial" w:cs="Arial"/>
                <w:sz w:val="20"/>
                <w:szCs w:val="20"/>
              </w:rPr>
              <w:t>–</w:t>
            </w:r>
            <w:r w:rsidRPr="00152CF2">
              <w:rPr>
                <w:rFonts w:ascii="Arial" w:hAnsi="Arial" w:cs="Arial"/>
                <w:sz w:val="20"/>
                <w:szCs w:val="20"/>
              </w:rPr>
              <w:t xml:space="preserve"> March</w:t>
            </w:r>
            <w:r w:rsidR="00152CF2">
              <w:rPr>
                <w:rFonts w:ascii="Arial" w:hAnsi="Arial" w:cs="Arial"/>
                <w:sz w:val="20"/>
                <w:szCs w:val="20"/>
              </w:rPr>
              <w:t>.</w:t>
            </w:r>
          </w:p>
          <w:p w14:paraId="3516653A" w14:textId="5BABB66C" w:rsidR="00152CF2" w:rsidRPr="00152CF2" w:rsidRDefault="00152CF2" w:rsidP="007D78AF">
            <w:pPr>
              <w:rPr>
                <w:rFonts w:ascii="Arial" w:hAnsi="Arial" w:cs="Arial"/>
                <w:sz w:val="20"/>
                <w:szCs w:val="20"/>
              </w:rPr>
            </w:pPr>
          </w:p>
        </w:tc>
      </w:tr>
      <w:tr w:rsidR="007D78AF" w:rsidRPr="00152CF2" w14:paraId="4A484050" w14:textId="77777777" w:rsidTr="007D78AF">
        <w:tc>
          <w:tcPr>
            <w:tcW w:w="2726" w:type="dxa"/>
          </w:tcPr>
          <w:p w14:paraId="0C608429" w14:textId="5AF73464" w:rsidR="007D78AF" w:rsidRPr="00152CF2" w:rsidRDefault="007D78AF" w:rsidP="00FF631A">
            <w:pPr>
              <w:rPr>
                <w:rFonts w:ascii="Arial" w:hAnsi="Arial" w:cs="Arial"/>
                <w:sz w:val="20"/>
                <w:szCs w:val="20"/>
              </w:rPr>
            </w:pPr>
            <w:r w:rsidRPr="00152CF2">
              <w:rPr>
                <w:rFonts w:ascii="Arial" w:hAnsi="Arial" w:cs="Arial"/>
                <w:sz w:val="20"/>
                <w:szCs w:val="20"/>
              </w:rPr>
              <w:t>Asset Management</w:t>
            </w:r>
            <w:r w:rsidR="00152CF2">
              <w:rPr>
                <w:rFonts w:ascii="Arial" w:hAnsi="Arial" w:cs="Arial"/>
                <w:sz w:val="20"/>
                <w:szCs w:val="20"/>
              </w:rPr>
              <w:t xml:space="preserve"> / Review of Other Council Buildings</w:t>
            </w:r>
          </w:p>
        </w:tc>
        <w:tc>
          <w:tcPr>
            <w:tcW w:w="1380" w:type="dxa"/>
          </w:tcPr>
          <w:p w14:paraId="6DBAC77F" w14:textId="64B5BDDA" w:rsidR="007D78AF" w:rsidRPr="00152CF2" w:rsidRDefault="007D78AF" w:rsidP="00FF631A">
            <w:pPr>
              <w:rPr>
                <w:rFonts w:ascii="Arial" w:hAnsi="Arial" w:cs="Arial"/>
                <w:sz w:val="20"/>
                <w:szCs w:val="20"/>
              </w:rPr>
            </w:pPr>
            <w:r w:rsidRPr="00152CF2">
              <w:rPr>
                <w:rFonts w:ascii="Arial" w:hAnsi="Arial" w:cs="Arial"/>
                <w:sz w:val="20"/>
                <w:szCs w:val="20"/>
              </w:rPr>
              <w:t xml:space="preserve">Not applicable </w:t>
            </w:r>
          </w:p>
        </w:tc>
        <w:tc>
          <w:tcPr>
            <w:tcW w:w="10490" w:type="dxa"/>
          </w:tcPr>
          <w:p w14:paraId="79E95AFC" w14:textId="294995B5" w:rsidR="007D78AF" w:rsidRPr="00152CF2" w:rsidRDefault="007D78AF" w:rsidP="00740559">
            <w:pPr>
              <w:pStyle w:val="Default"/>
              <w:rPr>
                <w:iCs/>
                <w:sz w:val="20"/>
                <w:szCs w:val="20"/>
              </w:rPr>
            </w:pPr>
            <w:r w:rsidRPr="00152CF2">
              <w:rPr>
                <w:sz w:val="20"/>
                <w:szCs w:val="20"/>
              </w:rPr>
              <w:t xml:space="preserve">This review was undertaken in conjunction with the health and safety team and focussed on compliance with </w:t>
            </w:r>
            <w:r w:rsidRPr="00152CF2">
              <w:rPr>
                <w:iCs/>
                <w:sz w:val="20"/>
                <w:szCs w:val="20"/>
              </w:rPr>
              <w:t xml:space="preserve">statutory health and safety building legislation for all council buildings (excluding commercial properties and the Civic Centre).  </w:t>
            </w:r>
          </w:p>
          <w:p w14:paraId="19FB4F28" w14:textId="59187783" w:rsidR="007D78AF" w:rsidRPr="00152CF2" w:rsidRDefault="007D78AF" w:rsidP="00740559">
            <w:pPr>
              <w:pStyle w:val="Default"/>
              <w:rPr>
                <w:iCs/>
                <w:sz w:val="20"/>
                <w:szCs w:val="20"/>
              </w:rPr>
            </w:pPr>
          </w:p>
          <w:p w14:paraId="1AADCF75" w14:textId="62BF1A45" w:rsidR="007D78AF" w:rsidRPr="00152CF2" w:rsidRDefault="007D78AF" w:rsidP="00740559">
            <w:pPr>
              <w:pStyle w:val="Default"/>
              <w:rPr>
                <w:iCs/>
                <w:sz w:val="20"/>
                <w:szCs w:val="20"/>
              </w:rPr>
            </w:pPr>
            <w:r w:rsidRPr="00152CF2">
              <w:rPr>
                <w:iCs/>
                <w:sz w:val="20"/>
                <w:szCs w:val="20"/>
              </w:rPr>
              <w:t>It was established that whilst there was compliance with electrical testing, legionella and gas testing, however gaps were identified with fire risk assessments and asbestos monitoring.   Actions to improve record management and monitoring arrangements to prevent re-occurrences of the issues identified were agreed.</w:t>
            </w:r>
          </w:p>
          <w:p w14:paraId="31845297" w14:textId="0854706F" w:rsidR="007D78AF" w:rsidRPr="00152CF2" w:rsidRDefault="007D78AF" w:rsidP="00FF631A">
            <w:pPr>
              <w:rPr>
                <w:rFonts w:ascii="Arial" w:hAnsi="Arial" w:cs="Arial"/>
                <w:sz w:val="20"/>
                <w:szCs w:val="20"/>
              </w:rPr>
            </w:pPr>
          </w:p>
        </w:tc>
      </w:tr>
      <w:tr w:rsidR="00E4481F" w:rsidRPr="00152CF2" w14:paraId="071D3A8B" w14:textId="77777777" w:rsidTr="007D78AF">
        <w:tc>
          <w:tcPr>
            <w:tcW w:w="2726" w:type="dxa"/>
          </w:tcPr>
          <w:p w14:paraId="58021750" w14:textId="7BA68D5A" w:rsidR="00E4481F" w:rsidRPr="00152CF2" w:rsidRDefault="00E4481F" w:rsidP="00FF631A">
            <w:pPr>
              <w:rPr>
                <w:rFonts w:ascii="Arial" w:hAnsi="Arial" w:cs="Arial"/>
                <w:sz w:val="20"/>
                <w:szCs w:val="20"/>
              </w:rPr>
            </w:pPr>
            <w:r>
              <w:rPr>
                <w:rFonts w:ascii="Arial" w:hAnsi="Arial" w:cs="Arial"/>
                <w:sz w:val="20"/>
                <w:szCs w:val="20"/>
              </w:rPr>
              <w:t>Leisure Centres</w:t>
            </w:r>
          </w:p>
        </w:tc>
        <w:tc>
          <w:tcPr>
            <w:tcW w:w="1380" w:type="dxa"/>
          </w:tcPr>
          <w:p w14:paraId="48F522CB" w14:textId="77777777" w:rsidR="00E4481F" w:rsidRDefault="00E4481F" w:rsidP="00FF631A">
            <w:pPr>
              <w:rPr>
                <w:rFonts w:ascii="Arial" w:hAnsi="Arial" w:cs="Arial"/>
                <w:sz w:val="20"/>
                <w:szCs w:val="20"/>
              </w:rPr>
            </w:pPr>
            <w:r>
              <w:rPr>
                <w:rFonts w:ascii="Arial" w:hAnsi="Arial" w:cs="Arial"/>
                <w:sz w:val="20"/>
                <w:szCs w:val="20"/>
              </w:rPr>
              <w:t>Not applicable</w:t>
            </w:r>
          </w:p>
          <w:p w14:paraId="634547A1" w14:textId="170F81D9" w:rsidR="00E4481F" w:rsidRPr="00152CF2" w:rsidRDefault="00E4481F" w:rsidP="00FF631A">
            <w:pPr>
              <w:rPr>
                <w:rFonts w:ascii="Arial" w:hAnsi="Arial" w:cs="Arial"/>
                <w:sz w:val="20"/>
                <w:szCs w:val="20"/>
              </w:rPr>
            </w:pPr>
          </w:p>
        </w:tc>
        <w:tc>
          <w:tcPr>
            <w:tcW w:w="10490" w:type="dxa"/>
          </w:tcPr>
          <w:p w14:paraId="73D9D715" w14:textId="6B6A4379" w:rsidR="00E4481F" w:rsidRPr="00E4481F" w:rsidRDefault="00E4481F" w:rsidP="00740559">
            <w:pPr>
              <w:pStyle w:val="Default"/>
              <w:rPr>
                <w:sz w:val="20"/>
                <w:szCs w:val="20"/>
              </w:rPr>
            </w:pPr>
            <w:r w:rsidRPr="00E4481F">
              <w:rPr>
                <w:sz w:val="20"/>
                <w:szCs w:val="20"/>
              </w:rPr>
              <w:t>The review has been completed and report presented to the Board of Directors of South Ribble Leisure Limited.</w:t>
            </w:r>
          </w:p>
        </w:tc>
      </w:tr>
      <w:tr w:rsidR="007D78AF" w:rsidRPr="00152CF2" w14:paraId="66A63ACE" w14:textId="77777777" w:rsidTr="007D78AF">
        <w:tc>
          <w:tcPr>
            <w:tcW w:w="2726" w:type="dxa"/>
          </w:tcPr>
          <w:p w14:paraId="4CC7796E" w14:textId="77777777" w:rsidR="007D78AF" w:rsidRPr="00152CF2" w:rsidRDefault="007D78AF" w:rsidP="00740559">
            <w:pPr>
              <w:rPr>
                <w:rFonts w:ascii="Arial" w:hAnsi="Arial" w:cs="Arial"/>
                <w:sz w:val="20"/>
                <w:szCs w:val="20"/>
              </w:rPr>
            </w:pPr>
            <w:r w:rsidRPr="00152CF2">
              <w:rPr>
                <w:rFonts w:ascii="Arial" w:hAnsi="Arial" w:cs="Arial"/>
                <w:sz w:val="20"/>
                <w:szCs w:val="20"/>
              </w:rPr>
              <w:t>Facilities and Building Management</w:t>
            </w:r>
          </w:p>
          <w:p w14:paraId="2E7A5D06" w14:textId="77777777" w:rsidR="007D78AF" w:rsidRPr="00152CF2" w:rsidRDefault="007D78AF" w:rsidP="00FF631A">
            <w:pPr>
              <w:rPr>
                <w:rFonts w:ascii="Arial" w:hAnsi="Arial" w:cs="Arial"/>
                <w:sz w:val="20"/>
                <w:szCs w:val="20"/>
              </w:rPr>
            </w:pPr>
          </w:p>
        </w:tc>
        <w:tc>
          <w:tcPr>
            <w:tcW w:w="1380" w:type="dxa"/>
            <w:shd w:val="clear" w:color="auto" w:fill="FFFFFF" w:themeFill="background1"/>
          </w:tcPr>
          <w:p w14:paraId="274F8413" w14:textId="7114AB56" w:rsidR="007D78AF" w:rsidRPr="00152CF2" w:rsidRDefault="007D78AF" w:rsidP="00FF631A">
            <w:pPr>
              <w:rPr>
                <w:rFonts w:ascii="Arial" w:hAnsi="Arial" w:cs="Arial"/>
                <w:sz w:val="20"/>
                <w:szCs w:val="20"/>
              </w:rPr>
            </w:pPr>
            <w:r w:rsidRPr="00152CF2">
              <w:rPr>
                <w:rFonts w:ascii="Arial" w:hAnsi="Arial" w:cs="Arial"/>
                <w:sz w:val="20"/>
                <w:szCs w:val="20"/>
              </w:rPr>
              <w:t>Limited</w:t>
            </w:r>
          </w:p>
        </w:tc>
        <w:tc>
          <w:tcPr>
            <w:tcW w:w="10490" w:type="dxa"/>
          </w:tcPr>
          <w:p w14:paraId="234D4919" w14:textId="152EA582" w:rsidR="007D78AF" w:rsidRPr="00152CF2" w:rsidRDefault="007D78AF" w:rsidP="00FF631A">
            <w:pPr>
              <w:rPr>
                <w:rFonts w:ascii="Arial" w:hAnsi="Arial" w:cs="Arial"/>
                <w:sz w:val="20"/>
                <w:szCs w:val="20"/>
              </w:rPr>
            </w:pPr>
            <w:r w:rsidRPr="00152CF2">
              <w:rPr>
                <w:rFonts w:ascii="Arial" w:hAnsi="Arial" w:cs="Arial"/>
                <w:sz w:val="20"/>
                <w:szCs w:val="20"/>
              </w:rPr>
              <w:t>A full copy of the final report was presented to the Governance Committee in January 2022.</w:t>
            </w:r>
          </w:p>
          <w:p w14:paraId="2538C43D" w14:textId="77777777" w:rsidR="007D78AF" w:rsidRDefault="007D78AF" w:rsidP="00152CF2">
            <w:pPr>
              <w:rPr>
                <w:rFonts w:ascii="Arial" w:hAnsi="Arial" w:cs="Arial"/>
                <w:bCs/>
                <w:iCs/>
                <w:sz w:val="20"/>
                <w:szCs w:val="20"/>
              </w:rPr>
            </w:pPr>
            <w:r w:rsidRPr="00152CF2">
              <w:rPr>
                <w:rFonts w:ascii="Arial" w:hAnsi="Arial" w:cs="Arial"/>
                <w:bCs/>
                <w:iCs/>
                <w:sz w:val="20"/>
                <w:szCs w:val="20"/>
              </w:rPr>
              <w:t>The final report contained actions with short timescales for implementation due to the criticality of the issues identifie</w:t>
            </w:r>
            <w:r w:rsidR="00065D07" w:rsidRPr="00152CF2">
              <w:rPr>
                <w:rFonts w:ascii="Arial" w:hAnsi="Arial" w:cs="Arial"/>
                <w:bCs/>
                <w:iCs/>
                <w:sz w:val="20"/>
                <w:szCs w:val="20"/>
              </w:rPr>
              <w:t>d.</w:t>
            </w:r>
            <w:r w:rsidR="00152CF2">
              <w:rPr>
                <w:rFonts w:ascii="Arial" w:hAnsi="Arial" w:cs="Arial"/>
                <w:bCs/>
                <w:iCs/>
                <w:sz w:val="20"/>
                <w:szCs w:val="20"/>
              </w:rPr>
              <w:t xml:space="preserve">   Progress on the implementation of actions has been reported to the Committee in January 22 and March 22.</w:t>
            </w:r>
          </w:p>
          <w:p w14:paraId="308A9F06" w14:textId="1EEA7FE2" w:rsidR="00152CF2" w:rsidRPr="00152CF2" w:rsidRDefault="00152CF2" w:rsidP="00152CF2">
            <w:pPr>
              <w:rPr>
                <w:rFonts w:ascii="Arial" w:hAnsi="Arial" w:cs="Arial"/>
                <w:sz w:val="20"/>
                <w:szCs w:val="20"/>
              </w:rPr>
            </w:pPr>
          </w:p>
        </w:tc>
      </w:tr>
      <w:tr w:rsidR="007D78AF" w:rsidRPr="00152CF2" w14:paraId="7D090AAF" w14:textId="77777777" w:rsidTr="00065D07">
        <w:tc>
          <w:tcPr>
            <w:tcW w:w="2726" w:type="dxa"/>
          </w:tcPr>
          <w:p w14:paraId="01E5CE28" w14:textId="0BD686A8" w:rsidR="007D78AF" w:rsidRPr="00152CF2" w:rsidRDefault="007D78AF" w:rsidP="00AE1775">
            <w:pPr>
              <w:rPr>
                <w:rFonts w:ascii="Arial" w:hAnsi="Arial" w:cs="Arial"/>
                <w:sz w:val="20"/>
                <w:szCs w:val="20"/>
              </w:rPr>
            </w:pPr>
            <w:r w:rsidRPr="00152CF2">
              <w:rPr>
                <w:rFonts w:ascii="Arial" w:hAnsi="Arial" w:cs="Arial"/>
                <w:sz w:val="20"/>
                <w:szCs w:val="20"/>
              </w:rPr>
              <w:t>Disabled Facilities Grants</w:t>
            </w:r>
          </w:p>
        </w:tc>
        <w:tc>
          <w:tcPr>
            <w:tcW w:w="1380" w:type="dxa"/>
            <w:shd w:val="clear" w:color="auto" w:fill="FFFFFF" w:themeFill="background1"/>
          </w:tcPr>
          <w:p w14:paraId="68228EC0" w14:textId="153C34ED" w:rsidR="007D78AF" w:rsidRPr="00152CF2" w:rsidRDefault="007D78AF" w:rsidP="00AE1775">
            <w:pPr>
              <w:rPr>
                <w:rFonts w:ascii="Arial" w:hAnsi="Arial" w:cs="Arial"/>
                <w:sz w:val="20"/>
                <w:szCs w:val="20"/>
              </w:rPr>
            </w:pPr>
            <w:r w:rsidRPr="00152CF2">
              <w:rPr>
                <w:rFonts w:ascii="Arial" w:hAnsi="Arial" w:cs="Arial"/>
                <w:sz w:val="20"/>
                <w:szCs w:val="20"/>
              </w:rPr>
              <w:t>Adequate</w:t>
            </w:r>
          </w:p>
        </w:tc>
        <w:tc>
          <w:tcPr>
            <w:tcW w:w="10490" w:type="dxa"/>
          </w:tcPr>
          <w:p w14:paraId="1DE9CB0F" w14:textId="3758915B" w:rsidR="00152CF2" w:rsidRPr="00152CF2" w:rsidRDefault="00152CF2" w:rsidP="00152CF2">
            <w:pPr>
              <w:rPr>
                <w:rFonts w:ascii="Arial" w:hAnsi="Arial" w:cs="Arial"/>
                <w:sz w:val="20"/>
                <w:szCs w:val="20"/>
              </w:rPr>
            </w:pPr>
            <w:r w:rsidRPr="00152CF2">
              <w:rPr>
                <w:rFonts w:ascii="Arial" w:hAnsi="Arial" w:cs="Arial"/>
                <w:sz w:val="20"/>
                <w:szCs w:val="20"/>
              </w:rPr>
              <w:t xml:space="preserve">Whilst processes in place for </w:t>
            </w:r>
            <w:r>
              <w:rPr>
                <w:rFonts w:ascii="Arial" w:hAnsi="Arial" w:cs="Arial"/>
                <w:sz w:val="20"/>
                <w:szCs w:val="20"/>
              </w:rPr>
              <w:t xml:space="preserve">Disabled Facilities Grants </w:t>
            </w:r>
            <w:r w:rsidRPr="00152CF2">
              <w:rPr>
                <w:rFonts w:ascii="Arial" w:hAnsi="Arial" w:cs="Arial"/>
                <w:sz w:val="20"/>
                <w:szCs w:val="20"/>
              </w:rPr>
              <w:t>are generally well established some key controls have not been operational or require strengthening, largely due to the pandemic.  A range of management actions have been agreed to ensure the controls are re-instated or strengthened.</w:t>
            </w:r>
          </w:p>
          <w:p w14:paraId="34819178" w14:textId="77777777" w:rsidR="007D78AF" w:rsidRPr="00152CF2" w:rsidRDefault="007D78AF" w:rsidP="00AE1775">
            <w:pPr>
              <w:jc w:val="both"/>
              <w:rPr>
                <w:rFonts w:ascii="Arial" w:hAnsi="Arial" w:cs="Arial"/>
                <w:sz w:val="20"/>
                <w:szCs w:val="20"/>
              </w:rPr>
            </w:pPr>
          </w:p>
          <w:p w14:paraId="17B9E4E4" w14:textId="107E516D" w:rsidR="007D78AF" w:rsidRPr="00152CF2" w:rsidRDefault="007D78AF" w:rsidP="00065D07">
            <w:pPr>
              <w:jc w:val="both"/>
              <w:rPr>
                <w:rFonts w:ascii="Arial" w:hAnsi="Arial" w:cs="Arial"/>
                <w:sz w:val="20"/>
                <w:szCs w:val="20"/>
              </w:rPr>
            </w:pPr>
            <w:r w:rsidRPr="00152CF2">
              <w:rPr>
                <w:rFonts w:ascii="Arial" w:hAnsi="Arial" w:cs="Arial"/>
                <w:sz w:val="20"/>
                <w:szCs w:val="20"/>
              </w:rPr>
              <w:t>Established controls have now been reinstated, however due to the control changes in place during the period of review an Adequate assurance rating was awarded for this review</w:t>
            </w:r>
            <w:r w:rsidR="00065D07" w:rsidRPr="00152CF2">
              <w:rPr>
                <w:rFonts w:ascii="Arial" w:hAnsi="Arial" w:cs="Arial"/>
                <w:sz w:val="20"/>
                <w:szCs w:val="20"/>
              </w:rPr>
              <w:t>.</w:t>
            </w:r>
          </w:p>
          <w:p w14:paraId="10CB3AC4" w14:textId="77777777" w:rsidR="007D78AF" w:rsidRPr="00152CF2" w:rsidRDefault="007D78AF" w:rsidP="00AE1775">
            <w:pPr>
              <w:rPr>
                <w:rFonts w:ascii="Arial" w:hAnsi="Arial" w:cs="Arial"/>
                <w:sz w:val="20"/>
                <w:szCs w:val="20"/>
              </w:rPr>
            </w:pPr>
          </w:p>
        </w:tc>
      </w:tr>
      <w:tr w:rsidR="007D78AF" w:rsidRPr="00152CF2" w14:paraId="7E9536DE" w14:textId="77777777" w:rsidTr="00152CF2">
        <w:tc>
          <w:tcPr>
            <w:tcW w:w="2726" w:type="dxa"/>
          </w:tcPr>
          <w:p w14:paraId="7478D23F" w14:textId="77777777" w:rsidR="007D78AF" w:rsidRPr="00152CF2" w:rsidRDefault="007D78AF" w:rsidP="00F12904">
            <w:pPr>
              <w:rPr>
                <w:rFonts w:ascii="Arial" w:hAnsi="Arial" w:cs="Arial"/>
                <w:color w:val="000000"/>
                <w:sz w:val="20"/>
                <w:szCs w:val="20"/>
              </w:rPr>
            </w:pPr>
            <w:r w:rsidRPr="00152CF2">
              <w:rPr>
                <w:rFonts w:ascii="Arial" w:hAnsi="Arial" w:cs="Arial"/>
                <w:color w:val="000000"/>
                <w:sz w:val="20"/>
                <w:szCs w:val="20"/>
              </w:rPr>
              <w:t>Performance Management / Data quality</w:t>
            </w:r>
          </w:p>
          <w:p w14:paraId="55BC00E3" w14:textId="77777777" w:rsidR="007D78AF" w:rsidRPr="00152CF2" w:rsidRDefault="007D78AF" w:rsidP="00AE1775">
            <w:pPr>
              <w:rPr>
                <w:rFonts w:ascii="Arial" w:hAnsi="Arial" w:cs="Arial"/>
                <w:sz w:val="20"/>
                <w:szCs w:val="20"/>
              </w:rPr>
            </w:pPr>
          </w:p>
        </w:tc>
        <w:tc>
          <w:tcPr>
            <w:tcW w:w="1380" w:type="dxa"/>
            <w:shd w:val="clear" w:color="auto" w:fill="auto"/>
          </w:tcPr>
          <w:p w14:paraId="287ADDC8" w14:textId="35BBA839" w:rsidR="007D78AF" w:rsidRPr="00152CF2" w:rsidRDefault="007D78AF" w:rsidP="00AE1775">
            <w:pPr>
              <w:rPr>
                <w:rFonts w:ascii="Arial" w:hAnsi="Arial" w:cs="Arial"/>
                <w:sz w:val="20"/>
                <w:szCs w:val="20"/>
              </w:rPr>
            </w:pPr>
            <w:r w:rsidRPr="00152CF2">
              <w:rPr>
                <w:rFonts w:ascii="Arial" w:hAnsi="Arial" w:cs="Arial"/>
                <w:sz w:val="20"/>
                <w:szCs w:val="20"/>
              </w:rPr>
              <w:t>Adequate</w:t>
            </w:r>
          </w:p>
        </w:tc>
        <w:tc>
          <w:tcPr>
            <w:tcW w:w="10490" w:type="dxa"/>
          </w:tcPr>
          <w:p w14:paraId="5386DAEC" w14:textId="2B960D39" w:rsidR="007D78AF" w:rsidRPr="00152CF2" w:rsidRDefault="007D78AF" w:rsidP="00F12904">
            <w:pPr>
              <w:jc w:val="both"/>
              <w:rPr>
                <w:rFonts w:ascii="Arial" w:hAnsi="Arial" w:cs="Arial"/>
                <w:sz w:val="20"/>
                <w:szCs w:val="20"/>
              </w:rPr>
            </w:pPr>
            <w:r w:rsidRPr="00152CF2">
              <w:rPr>
                <w:rFonts w:ascii="Arial" w:hAnsi="Arial" w:cs="Arial"/>
                <w:sz w:val="20"/>
                <w:szCs w:val="20"/>
              </w:rPr>
              <w:t>The Council is committed to delivering high quality and value for money services for its residents. The achievement of this is measured and reported through its performance management framework.  This review considered the progress made since the development of the Performance Management Framework and verification of the reported figures for Q3 20/21 and Q1 21/22.</w:t>
            </w:r>
          </w:p>
          <w:p w14:paraId="27DB1359" w14:textId="77777777" w:rsidR="007D78AF" w:rsidRPr="00152CF2" w:rsidRDefault="007D78AF" w:rsidP="00F12904">
            <w:pPr>
              <w:pStyle w:val="ListParagraph"/>
              <w:ind w:left="360"/>
              <w:rPr>
                <w:rFonts w:ascii="Arial" w:hAnsi="Arial" w:cs="Arial"/>
                <w:sz w:val="20"/>
                <w:szCs w:val="20"/>
              </w:rPr>
            </w:pPr>
          </w:p>
          <w:p w14:paraId="4228AE9D" w14:textId="77777777" w:rsidR="007D78AF" w:rsidRDefault="007D78AF" w:rsidP="00F12904">
            <w:pPr>
              <w:ind w:left="39" w:hanging="567"/>
              <w:rPr>
                <w:rFonts w:ascii="Arial" w:hAnsi="Arial" w:cs="Arial"/>
                <w:sz w:val="20"/>
                <w:szCs w:val="20"/>
              </w:rPr>
            </w:pPr>
            <w:bookmarkStart w:id="0" w:name="_Hlk82718116"/>
            <w:r w:rsidRPr="00152CF2">
              <w:rPr>
                <w:rFonts w:ascii="Arial" w:hAnsi="Arial" w:cs="Arial"/>
                <w:sz w:val="20"/>
                <w:szCs w:val="20"/>
              </w:rPr>
              <w:tab/>
              <w:t>Internal Audit undertook an initial review of Q3 (20/21) corporate strategy performance</w:t>
            </w:r>
            <w:r w:rsidR="00065D07" w:rsidRPr="00152CF2">
              <w:rPr>
                <w:rFonts w:ascii="Arial" w:hAnsi="Arial" w:cs="Arial"/>
                <w:sz w:val="20"/>
                <w:szCs w:val="20"/>
              </w:rPr>
              <w:t xml:space="preserve"> </w:t>
            </w:r>
            <w:r w:rsidRPr="00152CF2">
              <w:rPr>
                <w:rFonts w:ascii="Arial" w:hAnsi="Arial" w:cs="Arial"/>
                <w:sz w:val="20"/>
                <w:szCs w:val="20"/>
              </w:rPr>
              <w:t xml:space="preserve">measures and identified that whilst progress has been made by directorates, key issues were found that demonstrated a need for greater oversight of the data collection system by the responsible officers, in conjunction with the authorising officers. </w:t>
            </w:r>
            <w:r w:rsidRPr="00152CF2">
              <w:rPr>
                <w:rFonts w:ascii="Arial" w:hAnsi="Arial" w:cs="Arial"/>
                <w:sz w:val="20"/>
                <w:szCs w:val="20"/>
              </w:rPr>
              <w:lastRenderedPageBreak/>
              <w:t>Subsequent Internal Audit testing on the performance measures for Q1 (21/22) found that improvements had been made, h</w:t>
            </w:r>
            <w:r w:rsidRPr="00152CF2">
              <w:rPr>
                <w:rFonts w:ascii="Arial" w:hAnsi="Arial" w:cs="Arial"/>
                <w:iCs/>
                <w:sz w:val="20"/>
                <w:szCs w:val="20"/>
              </w:rPr>
              <w:t>owever despite the amount of training delivered and support provided to collection and responsible officers since the launch of the Performance Management Framework, a small number of indicators were still incorrectly reported</w:t>
            </w:r>
            <w:bookmarkEnd w:id="0"/>
            <w:r w:rsidRPr="00152CF2">
              <w:rPr>
                <w:rFonts w:ascii="Arial" w:hAnsi="Arial" w:cs="Arial"/>
                <w:iCs/>
                <w:sz w:val="20"/>
                <w:szCs w:val="20"/>
              </w:rPr>
              <w:t xml:space="preserve">.  </w:t>
            </w:r>
            <w:r w:rsidRPr="00152CF2">
              <w:rPr>
                <w:rFonts w:ascii="Arial" w:hAnsi="Arial" w:cs="Arial"/>
                <w:sz w:val="20"/>
                <w:szCs w:val="20"/>
              </w:rPr>
              <w:t xml:space="preserve"> </w:t>
            </w:r>
          </w:p>
          <w:p w14:paraId="0C9B08EB" w14:textId="2AF633A9" w:rsidR="006B2DC7" w:rsidRPr="00152CF2" w:rsidRDefault="006B2DC7" w:rsidP="00F12904">
            <w:pPr>
              <w:ind w:left="39" w:hanging="567"/>
              <w:rPr>
                <w:rFonts w:ascii="Arial" w:hAnsi="Arial" w:cs="Arial"/>
                <w:sz w:val="20"/>
                <w:szCs w:val="20"/>
              </w:rPr>
            </w:pPr>
          </w:p>
        </w:tc>
      </w:tr>
      <w:tr w:rsidR="007D78AF" w:rsidRPr="00152CF2" w14:paraId="6E6A18A2" w14:textId="77777777" w:rsidTr="007D78AF">
        <w:tc>
          <w:tcPr>
            <w:tcW w:w="2726" w:type="dxa"/>
          </w:tcPr>
          <w:p w14:paraId="3FCC2154" w14:textId="19AC33CB" w:rsidR="007D78AF" w:rsidRPr="00152CF2" w:rsidRDefault="007D78AF" w:rsidP="00F12904">
            <w:pPr>
              <w:rPr>
                <w:rFonts w:ascii="Arial" w:hAnsi="Arial" w:cs="Arial"/>
                <w:color w:val="000000"/>
                <w:sz w:val="20"/>
                <w:szCs w:val="20"/>
              </w:rPr>
            </w:pPr>
            <w:r w:rsidRPr="00152CF2">
              <w:rPr>
                <w:rFonts w:ascii="Arial" w:hAnsi="Arial" w:cs="Arial"/>
                <w:color w:val="000000"/>
                <w:sz w:val="20"/>
                <w:szCs w:val="20"/>
              </w:rPr>
              <w:lastRenderedPageBreak/>
              <w:t>Recruitment and Selection</w:t>
            </w:r>
            <w:r w:rsidR="00F43552">
              <w:rPr>
                <w:rFonts w:ascii="Arial" w:hAnsi="Arial" w:cs="Arial"/>
                <w:color w:val="000000"/>
                <w:sz w:val="20"/>
                <w:szCs w:val="20"/>
              </w:rPr>
              <w:t xml:space="preserve"> / Human Resources Transformation Project</w:t>
            </w:r>
          </w:p>
          <w:p w14:paraId="332419F3" w14:textId="77777777" w:rsidR="007D78AF" w:rsidRPr="00152CF2" w:rsidRDefault="007D78AF" w:rsidP="00AE1775">
            <w:pPr>
              <w:rPr>
                <w:rFonts w:ascii="Arial" w:hAnsi="Arial" w:cs="Arial"/>
                <w:sz w:val="20"/>
                <w:szCs w:val="20"/>
              </w:rPr>
            </w:pPr>
          </w:p>
        </w:tc>
        <w:tc>
          <w:tcPr>
            <w:tcW w:w="1380" w:type="dxa"/>
          </w:tcPr>
          <w:p w14:paraId="0B045E4B" w14:textId="428E95AB" w:rsidR="007D78AF" w:rsidRPr="00152CF2" w:rsidRDefault="00065D07" w:rsidP="00AE1775">
            <w:pPr>
              <w:rPr>
                <w:rFonts w:ascii="Arial" w:hAnsi="Arial" w:cs="Arial"/>
                <w:sz w:val="20"/>
                <w:szCs w:val="20"/>
              </w:rPr>
            </w:pPr>
            <w:r w:rsidRPr="00152CF2">
              <w:rPr>
                <w:rFonts w:ascii="Arial" w:hAnsi="Arial" w:cs="Arial"/>
                <w:sz w:val="20"/>
                <w:szCs w:val="20"/>
              </w:rPr>
              <w:t>Not applicable</w:t>
            </w:r>
          </w:p>
        </w:tc>
        <w:tc>
          <w:tcPr>
            <w:tcW w:w="10490" w:type="dxa"/>
          </w:tcPr>
          <w:p w14:paraId="42714758" w14:textId="77777777" w:rsidR="00065D07" w:rsidRDefault="00065D07" w:rsidP="0057728A">
            <w:pPr>
              <w:rPr>
                <w:rFonts w:ascii="Arial" w:hAnsi="Arial" w:cs="Arial"/>
                <w:sz w:val="20"/>
                <w:szCs w:val="20"/>
              </w:rPr>
            </w:pPr>
            <w:r w:rsidRPr="00152CF2">
              <w:rPr>
                <w:rFonts w:ascii="Arial" w:hAnsi="Arial" w:cs="Arial"/>
                <w:sz w:val="20"/>
                <w:szCs w:val="20"/>
              </w:rPr>
              <w:t>Due to the HR transformation project which encompassed a new payroll system and a suite of joint HR policies, it was agreed that it would be more beneficial for Internal Audit to play an active role in the project team to assist with the smooth transition to the new provider.</w:t>
            </w:r>
            <w:r w:rsidR="00DB0BF6">
              <w:rPr>
                <w:rFonts w:ascii="Arial" w:hAnsi="Arial" w:cs="Arial"/>
                <w:sz w:val="20"/>
                <w:szCs w:val="20"/>
              </w:rPr>
              <w:t xml:space="preserve">   </w:t>
            </w:r>
          </w:p>
          <w:p w14:paraId="41A20B09" w14:textId="097757D5" w:rsidR="0057728A" w:rsidRPr="00152CF2" w:rsidRDefault="0057728A" w:rsidP="0057728A">
            <w:pPr>
              <w:rPr>
                <w:rFonts w:ascii="Arial" w:hAnsi="Arial" w:cs="Arial"/>
                <w:sz w:val="20"/>
                <w:szCs w:val="20"/>
              </w:rPr>
            </w:pPr>
          </w:p>
        </w:tc>
      </w:tr>
      <w:tr w:rsidR="007D78AF" w:rsidRPr="00152CF2" w14:paraId="71E820A5" w14:textId="77777777" w:rsidTr="00065D07">
        <w:tc>
          <w:tcPr>
            <w:tcW w:w="2726" w:type="dxa"/>
          </w:tcPr>
          <w:p w14:paraId="3DB1AAC8" w14:textId="79292587" w:rsidR="007D78AF" w:rsidRPr="00152CF2" w:rsidRDefault="007D78AF" w:rsidP="00AE1775">
            <w:pPr>
              <w:rPr>
                <w:rFonts w:ascii="Arial" w:hAnsi="Arial" w:cs="Arial"/>
                <w:sz w:val="20"/>
                <w:szCs w:val="20"/>
              </w:rPr>
            </w:pPr>
            <w:r w:rsidRPr="00152CF2">
              <w:rPr>
                <w:rFonts w:ascii="Arial" w:hAnsi="Arial" w:cs="Arial"/>
                <w:sz w:val="20"/>
                <w:szCs w:val="20"/>
              </w:rPr>
              <w:t>Payroll – Overtime and Expenses</w:t>
            </w:r>
          </w:p>
        </w:tc>
        <w:tc>
          <w:tcPr>
            <w:tcW w:w="1380" w:type="dxa"/>
            <w:shd w:val="clear" w:color="auto" w:fill="FFFFFF" w:themeFill="background1"/>
          </w:tcPr>
          <w:p w14:paraId="63F1A068" w14:textId="455FCC6B" w:rsidR="007D78AF" w:rsidRPr="00152CF2" w:rsidRDefault="007D78AF" w:rsidP="00AE1775">
            <w:pPr>
              <w:rPr>
                <w:rFonts w:ascii="Arial" w:hAnsi="Arial" w:cs="Arial"/>
                <w:sz w:val="20"/>
                <w:szCs w:val="20"/>
              </w:rPr>
            </w:pPr>
            <w:r w:rsidRPr="00152CF2">
              <w:rPr>
                <w:rFonts w:ascii="Arial" w:hAnsi="Arial" w:cs="Arial"/>
                <w:sz w:val="20"/>
                <w:szCs w:val="20"/>
              </w:rPr>
              <w:t>Adequate</w:t>
            </w:r>
          </w:p>
        </w:tc>
        <w:tc>
          <w:tcPr>
            <w:tcW w:w="10490" w:type="dxa"/>
          </w:tcPr>
          <w:p w14:paraId="2CCBC2C5" w14:textId="61426AF2" w:rsidR="007D78AF" w:rsidRPr="00152CF2" w:rsidRDefault="007D78AF" w:rsidP="005C6030">
            <w:pPr>
              <w:rPr>
                <w:rFonts w:ascii="Arial" w:hAnsi="Arial" w:cs="Arial"/>
                <w:sz w:val="20"/>
                <w:szCs w:val="20"/>
              </w:rPr>
            </w:pPr>
            <w:r w:rsidRPr="00152CF2">
              <w:rPr>
                <w:rFonts w:ascii="Arial" w:hAnsi="Arial" w:cs="Arial"/>
                <w:sz w:val="20"/>
                <w:szCs w:val="20"/>
              </w:rPr>
              <w:t xml:space="preserve">This audit was a planned audit review undertaken in accordance with the agreed 2021-22 Internal Audit Plan, however since the plan was agreed the Council has been working towards implementing a new payroll system and a suite of joint HR policies across both Councils that will change processes for claiming overtime and expenses going forward. This review was undertaken to ascertain the level of compliance with the current policies and arrangements to ensure that any findings can be addressed and encompassed within the new processes taking effect from April 2022 and allow targeted training to be delivered. </w:t>
            </w:r>
          </w:p>
          <w:p w14:paraId="4C0DC36B" w14:textId="470EC33A" w:rsidR="007D78AF" w:rsidRPr="00152CF2" w:rsidRDefault="007D78AF" w:rsidP="005C6030">
            <w:pPr>
              <w:rPr>
                <w:rFonts w:ascii="Arial" w:hAnsi="Arial" w:cs="Arial"/>
                <w:sz w:val="20"/>
                <w:szCs w:val="20"/>
              </w:rPr>
            </w:pPr>
          </w:p>
          <w:p w14:paraId="1C645C5E" w14:textId="1C992AC9" w:rsidR="007D78AF" w:rsidRPr="00152CF2" w:rsidRDefault="007D78AF" w:rsidP="00065D07">
            <w:pPr>
              <w:jc w:val="both"/>
              <w:rPr>
                <w:rFonts w:ascii="Arial" w:hAnsi="Arial" w:cs="Arial"/>
                <w:sz w:val="20"/>
                <w:szCs w:val="20"/>
              </w:rPr>
            </w:pPr>
            <w:r w:rsidRPr="00152CF2">
              <w:rPr>
                <w:rFonts w:ascii="Arial" w:hAnsi="Arial" w:cs="Arial"/>
                <w:sz w:val="20"/>
                <w:szCs w:val="20"/>
              </w:rPr>
              <w:t>Our review confirmed that there are established arrangements in place at each Council to claim, authorise and reimburse expense and overtime payments and that these arrangements are generally followed.  Recommendations were agreed to improve arrangements in relation to the retention of documentation and guidance.</w:t>
            </w:r>
          </w:p>
          <w:p w14:paraId="47A3A93F" w14:textId="77777777" w:rsidR="007D78AF" w:rsidRPr="00152CF2" w:rsidRDefault="007D78AF" w:rsidP="00AE1775">
            <w:pPr>
              <w:rPr>
                <w:rFonts w:ascii="Arial" w:hAnsi="Arial" w:cs="Arial"/>
                <w:sz w:val="20"/>
                <w:szCs w:val="20"/>
              </w:rPr>
            </w:pPr>
          </w:p>
        </w:tc>
      </w:tr>
      <w:tr w:rsidR="007D78AF" w:rsidRPr="00152CF2" w14:paraId="6EBB9CE9" w14:textId="77777777" w:rsidTr="007D78AF">
        <w:tc>
          <w:tcPr>
            <w:tcW w:w="2726" w:type="dxa"/>
          </w:tcPr>
          <w:p w14:paraId="2627C040" w14:textId="09AA8113" w:rsidR="007D78AF" w:rsidRPr="0057728A" w:rsidRDefault="007D78AF" w:rsidP="00AE1775">
            <w:pPr>
              <w:rPr>
                <w:rFonts w:ascii="Arial" w:hAnsi="Arial" w:cs="Arial"/>
                <w:sz w:val="20"/>
                <w:szCs w:val="20"/>
              </w:rPr>
            </w:pPr>
            <w:r w:rsidRPr="0057728A">
              <w:rPr>
                <w:rFonts w:ascii="Arial" w:hAnsi="Arial" w:cs="Arial"/>
                <w:sz w:val="20"/>
                <w:szCs w:val="20"/>
              </w:rPr>
              <w:t>GDPR – Data Sharing</w:t>
            </w:r>
          </w:p>
        </w:tc>
        <w:tc>
          <w:tcPr>
            <w:tcW w:w="1380" w:type="dxa"/>
          </w:tcPr>
          <w:p w14:paraId="5E072C98" w14:textId="7BE75E34" w:rsidR="007D78AF" w:rsidRPr="0057728A" w:rsidRDefault="0057728A" w:rsidP="00AE1775">
            <w:pPr>
              <w:rPr>
                <w:rFonts w:ascii="Arial" w:hAnsi="Arial" w:cs="Arial"/>
                <w:sz w:val="20"/>
                <w:szCs w:val="20"/>
              </w:rPr>
            </w:pPr>
            <w:r>
              <w:rPr>
                <w:rFonts w:ascii="Arial" w:hAnsi="Arial" w:cs="Arial"/>
                <w:sz w:val="20"/>
                <w:szCs w:val="20"/>
              </w:rPr>
              <w:t>Adequate</w:t>
            </w:r>
          </w:p>
        </w:tc>
        <w:tc>
          <w:tcPr>
            <w:tcW w:w="10490" w:type="dxa"/>
          </w:tcPr>
          <w:p w14:paraId="100430A3" w14:textId="77777777" w:rsidR="007D78AF" w:rsidRPr="0057728A" w:rsidRDefault="0057728A" w:rsidP="00AE1775">
            <w:pPr>
              <w:rPr>
                <w:rFonts w:ascii="Arial" w:hAnsi="Arial" w:cs="Arial"/>
                <w:sz w:val="20"/>
                <w:szCs w:val="20"/>
              </w:rPr>
            </w:pPr>
            <w:r w:rsidRPr="0057728A">
              <w:rPr>
                <w:rFonts w:ascii="Arial" w:hAnsi="Arial" w:cs="Arial"/>
                <w:sz w:val="20"/>
                <w:szCs w:val="20"/>
              </w:rPr>
              <w:t>Our work has established that the Council has a comprehensive Record of Processing Activities (ROPA) in place that is easily accessible to enable Information Asset Owners (IAOs) to access and edit this information with ease.</w:t>
            </w:r>
          </w:p>
          <w:p w14:paraId="0B2FB787" w14:textId="3CDFC377" w:rsidR="0057728A" w:rsidRPr="0057728A" w:rsidRDefault="0057728A" w:rsidP="00AE1775">
            <w:pPr>
              <w:rPr>
                <w:rFonts w:ascii="Arial" w:hAnsi="Arial" w:cs="Arial"/>
                <w:sz w:val="20"/>
                <w:szCs w:val="20"/>
              </w:rPr>
            </w:pPr>
            <w:r w:rsidRPr="0057728A">
              <w:rPr>
                <w:rFonts w:ascii="Arial" w:hAnsi="Arial" w:cs="Arial"/>
                <w:sz w:val="20"/>
                <w:szCs w:val="20"/>
              </w:rPr>
              <w:t>The DPO has undertaken proactive measures to ensure that the Councils contracts contain appropriate data sharing clauses or agreements and all contract managers were contacted by the DPO during 2021 and instructed to review contracts that involve the processing of personal data to ensure that a suitable data sharing clause is included.</w:t>
            </w:r>
          </w:p>
          <w:p w14:paraId="6F5A7F66" w14:textId="7DD65DB8" w:rsidR="0057728A" w:rsidRPr="0057728A" w:rsidRDefault="0057728A" w:rsidP="00AE1775">
            <w:pPr>
              <w:rPr>
                <w:rFonts w:ascii="Arial" w:hAnsi="Arial" w:cs="Arial"/>
                <w:sz w:val="20"/>
                <w:szCs w:val="20"/>
              </w:rPr>
            </w:pPr>
          </w:p>
          <w:p w14:paraId="70776806" w14:textId="5CF9EDC7" w:rsidR="0057728A" w:rsidRDefault="0057728A" w:rsidP="003860AD">
            <w:pPr>
              <w:rPr>
                <w:rFonts w:ascii="Arial" w:hAnsi="Arial" w:cs="Arial"/>
                <w:sz w:val="20"/>
                <w:szCs w:val="20"/>
              </w:rPr>
            </w:pPr>
            <w:r w:rsidRPr="0057728A">
              <w:rPr>
                <w:rFonts w:ascii="Arial" w:hAnsi="Arial" w:cs="Arial"/>
                <w:sz w:val="20"/>
                <w:szCs w:val="20"/>
              </w:rPr>
              <w:t xml:space="preserve">Testing of sampled contracts confirmed the presence of data sharing agreements/clauses that were in accordance with South </w:t>
            </w:r>
            <w:proofErr w:type="spellStart"/>
            <w:r w:rsidRPr="0057728A">
              <w:rPr>
                <w:rFonts w:ascii="Arial" w:hAnsi="Arial" w:cs="Arial"/>
                <w:sz w:val="20"/>
                <w:szCs w:val="20"/>
              </w:rPr>
              <w:t>Ribble</w:t>
            </w:r>
            <w:proofErr w:type="spellEnd"/>
            <w:r w:rsidRPr="0057728A">
              <w:rPr>
                <w:rFonts w:ascii="Arial" w:hAnsi="Arial" w:cs="Arial"/>
                <w:sz w:val="20"/>
                <w:szCs w:val="20"/>
              </w:rPr>
              <w:t xml:space="preserve"> standard agreements,</w:t>
            </w:r>
            <w:r w:rsidR="003860AD">
              <w:rPr>
                <w:rFonts w:ascii="Arial" w:hAnsi="Arial" w:cs="Arial"/>
                <w:sz w:val="20"/>
                <w:szCs w:val="20"/>
              </w:rPr>
              <w:t xml:space="preserve"> Management actions were agreed to strengthen the Record of Processing Activity (ROPA).</w:t>
            </w:r>
          </w:p>
          <w:p w14:paraId="544698C9" w14:textId="5786FBD1" w:rsidR="003860AD" w:rsidRPr="0057728A" w:rsidRDefault="003860AD" w:rsidP="003860AD">
            <w:pPr>
              <w:rPr>
                <w:rFonts w:ascii="Arial" w:hAnsi="Arial" w:cs="Arial"/>
                <w:sz w:val="20"/>
                <w:szCs w:val="20"/>
              </w:rPr>
            </w:pPr>
          </w:p>
        </w:tc>
      </w:tr>
      <w:tr w:rsidR="007D78AF" w:rsidRPr="00152CF2" w14:paraId="4BE3708F" w14:textId="77777777" w:rsidTr="0057728A">
        <w:tc>
          <w:tcPr>
            <w:tcW w:w="2726" w:type="dxa"/>
          </w:tcPr>
          <w:p w14:paraId="0DB20F85" w14:textId="26B79317" w:rsidR="007D78AF" w:rsidRPr="00152CF2" w:rsidRDefault="007D78AF" w:rsidP="005C6030">
            <w:pPr>
              <w:rPr>
                <w:rFonts w:ascii="Arial" w:hAnsi="Arial" w:cs="Arial"/>
                <w:sz w:val="20"/>
                <w:szCs w:val="20"/>
              </w:rPr>
            </w:pPr>
            <w:r w:rsidRPr="00152CF2">
              <w:rPr>
                <w:rFonts w:ascii="Arial" w:hAnsi="Arial" w:cs="Arial"/>
                <w:sz w:val="20"/>
                <w:szCs w:val="20"/>
              </w:rPr>
              <w:t>Risk Management</w:t>
            </w:r>
          </w:p>
        </w:tc>
        <w:tc>
          <w:tcPr>
            <w:tcW w:w="1380" w:type="dxa"/>
            <w:shd w:val="clear" w:color="auto" w:fill="auto"/>
          </w:tcPr>
          <w:p w14:paraId="030A2176" w14:textId="3D70539B" w:rsidR="007D78AF" w:rsidRPr="0057728A" w:rsidRDefault="007D78AF" w:rsidP="005C6030">
            <w:pPr>
              <w:rPr>
                <w:rFonts w:ascii="Arial" w:hAnsi="Arial" w:cs="Arial"/>
                <w:sz w:val="20"/>
                <w:szCs w:val="20"/>
              </w:rPr>
            </w:pPr>
            <w:r w:rsidRPr="0057728A">
              <w:rPr>
                <w:rFonts w:ascii="Arial" w:hAnsi="Arial" w:cs="Arial"/>
                <w:sz w:val="20"/>
                <w:szCs w:val="20"/>
              </w:rPr>
              <w:t>Adequate</w:t>
            </w:r>
          </w:p>
        </w:tc>
        <w:tc>
          <w:tcPr>
            <w:tcW w:w="10490" w:type="dxa"/>
          </w:tcPr>
          <w:p w14:paraId="5EDDEE73" w14:textId="77777777" w:rsidR="007D78AF" w:rsidRPr="00152CF2" w:rsidRDefault="007D78AF" w:rsidP="005C6030">
            <w:pPr>
              <w:rPr>
                <w:rFonts w:ascii="Arial" w:hAnsi="Arial" w:cs="Arial"/>
                <w:sz w:val="20"/>
                <w:szCs w:val="20"/>
              </w:rPr>
            </w:pPr>
            <w:r w:rsidRPr="00152CF2">
              <w:rPr>
                <w:rFonts w:ascii="Arial" w:hAnsi="Arial" w:cs="Arial"/>
                <w:sz w:val="20"/>
                <w:szCs w:val="20"/>
              </w:rPr>
              <w:t xml:space="preserve">The review established that overall procedures are in place to record and monitor risks.  Whilst some work has been undertaken to help embed these procedures there is still work to be done to ensure that the recording and evaluation of all risks have been fully completed on the dedicated risk management system GRACE.     </w:t>
            </w:r>
          </w:p>
          <w:p w14:paraId="36B24B90" w14:textId="77777777" w:rsidR="007D78AF" w:rsidRPr="00152CF2" w:rsidRDefault="007D78AF" w:rsidP="005C6030">
            <w:pPr>
              <w:rPr>
                <w:rFonts w:ascii="Arial" w:hAnsi="Arial" w:cs="Arial"/>
                <w:sz w:val="20"/>
                <w:szCs w:val="20"/>
              </w:rPr>
            </w:pPr>
          </w:p>
        </w:tc>
      </w:tr>
      <w:tr w:rsidR="007D78AF" w:rsidRPr="00152CF2" w14:paraId="5C0F8216" w14:textId="77777777" w:rsidTr="0057728A">
        <w:tc>
          <w:tcPr>
            <w:tcW w:w="2726" w:type="dxa"/>
          </w:tcPr>
          <w:p w14:paraId="1A2786ED" w14:textId="77777777" w:rsidR="007D78AF" w:rsidRPr="00152CF2" w:rsidRDefault="007D78AF" w:rsidP="00E2468E">
            <w:pPr>
              <w:rPr>
                <w:rFonts w:ascii="Arial" w:hAnsi="Arial" w:cs="Arial"/>
                <w:sz w:val="20"/>
                <w:szCs w:val="20"/>
              </w:rPr>
            </w:pPr>
            <w:r w:rsidRPr="00152CF2">
              <w:rPr>
                <w:rFonts w:ascii="Arial" w:hAnsi="Arial" w:cs="Arial"/>
                <w:sz w:val="20"/>
                <w:szCs w:val="20"/>
              </w:rPr>
              <w:lastRenderedPageBreak/>
              <w:t>Compliance with contract procedure rules</w:t>
            </w:r>
          </w:p>
          <w:p w14:paraId="15A8FD44" w14:textId="77777777" w:rsidR="007D78AF" w:rsidRPr="00152CF2" w:rsidRDefault="007D78AF" w:rsidP="005C6030">
            <w:pPr>
              <w:rPr>
                <w:rFonts w:ascii="Arial" w:hAnsi="Arial" w:cs="Arial"/>
                <w:sz w:val="20"/>
                <w:szCs w:val="20"/>
              </w:rPr>
            </w:pPr>
          </w:p>
        </w:tc>
        <w:tc>
          <w:tcPr>
            <w:tcW w:w="1380" w:type="dxa"/>
            <w:shd w:val="clear" w:color="auto" w:fill="auto"/>
          </w:tcPr>
          <w:p w14:paraId="0F08CBFC" w14:textId="126E5C92" w:rsidR="007D78AF" w:rsidRPr="00152CF2" w:rsidRDefault="007D78AF" w:rsidP="005C6030">
            <w:pPr>
              <w:rPr>
                <w:rFonts w:ascii="Arial" w:hAnsi="Arial" w:cs="Arial"/>
                <w:sz w:val="20"/>
                <w:szCs w:val="20"/>
              </w:rPr>
            </w:pPr>
            <w:r w:rsidRPr="00152CF2">
              <w:rPr>
                <w:rFonts w:ascii="Arial" w:hAnsi="Arial" w:cs="Arial"/>
                <w:sz w:val="20"/>
                <w:szCs w:val="20"/>
              </w:rPr>
              <w:t>Adequate</w:t>
            </w:r>
          </w:p>
        </w:tc>
        <w:tc>
          <w:tcPr>
            <w:tcW w:w="10490" w:type="dxa"/>
          </w:tcPr>
          <w:p w14:paraId="3BD128E9" w14:textId="594ED15F" w:rsidR="007D78AF" w:rsidRPr="00152CF2" w:rsidRDefault="007D78AF" w:rsidP="00E2468E">
            <w:pPr>
              <w:rPr>
                <w:rFonts w:ascii="Arial" w:hAnsi="Arial" w:cs="Arial"/>
                <w:sz w:val="20"/>
                <w:szCs w:val="20"/>
              </w:rPr>
            </w:pPr>
            <w:r w:rsidRPr="00152CF2">
              <w:rPr>
                <w:rFonts w:ascii="Arial" w:hAnsi="Arial" w:cs="Arial"/>
                <w:sz w:val="20"/>
                <w:szCs w:val="20"/>
              </w:rPr>
              <w:t xml:space="preserve">This audit review was to provide assurance over compliance with the current Contract Procedure Rules (CPRs)  to ensure contracts are procured in a fair and transparent manner and achieve value for money.  </w:t>
            </w:r>
          </w:p>
          <w:p w14:paraId="3FC31961" w14:textId="77777777" w:rsidR="007D78AF" w:rsidRPr="00152CF2" w:rsidRDefault="007D78AF" w:rsidP="00E2468E">
            <w:pPr>
              <w:rPr>
                <w:rFonts w:ascii="Arial" w:hAnsi="Arial" w:cs="Arial"/>
                <w:sz w:val="20"/>
                <w:szCs w:val="20"/>
              </w:rPr>
            </w:pPr>
          </w:p>
          <w:p w14:paraId="59441CA9" w14:textId="1EB9E157" w:rsidR="007D78AF" w:rsidRPr="00152CF2" w:rsidRDefault="007D78AF" w:rsidP="00E2468E">
            <w:pPr>
              <w:rPr>
                <w:rFonts w:ascii="Arial" w:hAnsi="Arial" w:cs="Arial"/>
                <w:sz w:val="20"/>
                <w:szCs w:val="20"/>
              </w:rPr>
            </w:pPr>
            <w:r w:rsidRPr="00152CF2">
              <w:rPr>
                <w:rFonts w:ascii="Arial" w:hAnsi="Arial" w:cs="Arial"/>
                <w:sz w:val="20"/>
                <w:szCs w:val="20"/>
              </w:rPr>
              <w:t xml:space="preserve">We were able to establish that there was a high level of compliance with the Councils CPRs and evidence was available to support that the essential processes within the procurement cycle had been followed.  There </w:t>
            </w:r>
            <w:r w:rsidR="002C35B2" w:rsidRPr="00152CF2">
              <w:rPr>
                <w:rFonts w:ascii="Arial" w:hAnsi="Arial" w:cs="Arial"/>
                <w:sz w:val="20"/>
                <w:szCs w:val="20"/>
              </w:rPr>
              <w:t>were 2</w:t>
            </w:r>
            <w:r w:rsidRPr="00152CF2">
              <w:rPr>
                <w:rFonts w:ascii="Arial" w:hAnsi="Arial" w:cs="Arial"/>
                <w:sz w:val="20"/>
                <w:szCs w:val="20"/>
              </w:rPr>
              <w:t xml:space="preserve"> identified areas for improvement relating to the population of the contract management system and contract finder</w:t>
            </w:r>
          </w:p>
          <w:p w14:paraId="6799CF84" w14:textId="77777777" w:rsidR="007D78AF" w:rsidRPr="00152CF2" w:rsidRDefault="007D78AF" w:rsidP="00E2468E">
            <w:pPr>
              <w:rPr>
                <w:rFonts w:ascii="Arial" w:hAnsi="Arial" w:cs="Arial"/>
                <w:sz w:val="20"/>
                <w:szCs w:val="20"/>
              </w:rPr>
            </w:pPr>
          </w:p>
          <w:p w14:paraId="7D335462" w14:textId="34208350" w:rsidR="007D78AF" w:rsidRPr="00152CF2" w:rsidRDefault="007D78AF" w:rsidP="00E2468E">
            <w:pPr>
              <w:rPr>
                <w:rFonts w:ascii="Arial" w:hAnsi="Arial" w:cs="Arial"/>
                <w:sz w:val="20"/>
                <w:szCs w:val="20"/>
              </w:rPr>
            </w:pPr>
            <w:r w:rsidRPr="00152CF2">
              <w:rPr>
                <w:rFonts w:ascii="Arial" w:hAnsi="Arial" w:cs="Arial"/>
                <w:sz w:val="20"/>
                <w:szCs w:val="20"/>
              </w:rPr>
              <w:t>In addition we were unable to locate a small number of signed contracts within our sample</w:t>
            </w:r>
            <w:r w:rsidRPr="003860AD">
              <w:rPr>
                <w:rFonts w:ascii="Arial" w:hAnsi="Arial" w:cs="Arial"/>
                <w:sz w:val="20"/>
                <w:szCs w:val="20"/>
              </w:rPr>
              <w:t xml:space="preserve">.  </w:t>
            </w:r>
            <w:r w:rsidR="00406DB7" w:rsidRPr="003860AD">
              <w:rPr>
                <w:rFonts w:ascii="Arial" w:hAnsi="Arial" w:cs="Arial"/>
                <w:sz w:val="20"/>
                <w:szCs w:val="20"/>
              </w:rPr>
              <w:t>This may lead to issues should there be a dispute but generally if a procurement methodology has been followed the terms will have been treated as agreed.</w:t>
            </w:r>
            <w:r w:rsidRPr="00152CF2">
              <w:rPr>
                <w:rFonts w:ascii="Arial" w:hAnsi="Arial" w:cs="Arial"/>
                <w:sz w:val="20"/>
                <w:szCs w:val="20"/>
              </w:rPr>
              <w:tab/>
              <w:t xml:space="preserve"> </w:t>
            </w:r>
          </w:p>
          <w:p w14:paraId="5F863173" w14:textId="77777777" w:rsidR="007D78AF" w:rsidRPr="00152CF2" w:rsidRDefault="007D78AF" w:rsidP="005C6030">
            <w:pPr>
              <w:rPr>
                <w:rFonts w:ascii="Arial" w:hAnsi="Arial" w:cs="Arial"/>
                <w:sz w:val="20"/>
                <w:szCs w:val="20"/>
              </w:rPr>
            </w:pPr>
          </w:p>
        </w:tc>
      </w:tr>
      <w:tr w:rsidR="007D78AF" w:rsidRPr="00152CF2" w14:paraId="744810B9" w14:textId="77777777" w:rsidTr="0057728A">
        <w:tc>
          <w:tcPr>
            <w:tcW w:w="2726" w:type="dxa"/>
          </w:tcPr>
          <w:p w14:paraId="49E6ECCA" w14:textId="77777777" w:rsidR="007D78AF" w:rsidRPr="00152CF2" w:rsidRDefault="007D78AF" w:rsidP="00536B47">
            <w:pPr>
              <w:rPr>
                <w:rFonts w:ascii="Arial" w:hAnsi="Arial" w:cs="Arial"/>
                <w:sz w:val="20"/>
                <w:szCs w:val="20"/>
              </w:rPr>
            </w:pPr>
            <w:r w:rsidRPr="00152CF2">
              <w:rPr>
                <w:rFonts w:ascii="Arial" w:hAnsi="Arial" w:cs="Arial"/>
                <w:sz w:val="20"/>
                <w:szCs w:val="20"/>
              </w:rPr>
              <w:t xml:space="preserve">Budget Monitoring and reporting  </w:t>
            </w:r>
          </w:p>
          <w:p w14:paraId="17C454EE" w14:textId="77777777" w:rsidR="007D78AF" w:rsidRPr="00152CF2" w:rsidRDefault="007D78AF" w:rsidP="005C6030">
            <w:pPr>
              <w:rPr>
                <w:rFonts w:ascii="Arial" w:hAnsi="Arial" w:cs="Arial"/>
                <w:sz w:val="20"/>
                <w:szCs w:val="20"/>
              </w:rPr>
            </w:pPr>
          </w:p>
        </w:tc>
        <w:tc>
          <w:tcPr>
            <w:tcW w:w="1380" w:type="dxa"/>
            <w:shd w:val="clear" w:color="auto" w:fill="auto"/>
          </w:tcPr>
          <w:p w14:paraId="61FAFBEF" w14:textId="36A18B0B" w:rsidR="007D78AF" w:rsidRPr="0057728A" w:rsidRDefault="007D78AF" w:rsidP="005C6030">
            <w:pPr>
              <w:rPr>
                <w:rFonts w:ascii="Arial" w:hAnsi="Arial" w:cs="Arial"/>
                <w:sz w:val="20"/>
                <w:szCs w:val="20"/>
              </w:rPr>
            </w:pPr>
            <w:r w:rsidRPr="0057728A">
              <w:rPr>
                <w:rFonts w:ascii="Arial" w:hAnsi="Arial" w:cs="Arial"/>
                <w:sz w:val="20"/>
                <w:szCs w:val="20"/>
              </w:rPr>
              <w:t>Substantial</w:t>
            </w:r>
          </w:p>
        </w:tc>
        <w:tc>
          <w:tcPr>
            <w:tcW w:w="10490" w:type="dxa"/>
          </w:tcPr>
          <w:p w14:paraId="6CD8AA2A" w14:textId="77777777" w:rsidR="0057728A" w:rsidRPr="00E92E28" w:rsidRDefault="0057728A" w:rsidP="0057728A">
            <w:pPr>
              <w:jc w:val="both"/>
              <w:rPr>
                <w:rFonts w:ascii="Arial" w:hAnsi="Arial" w:cs="Arial"/>
                <w:sz w:val="20"/>
                <w:szCs w:val="20"/>
              </w:rPr>
            </w:pPr>
            <w:r w:rsidRPr="00E92E28">
              <w:rPr>
                <w:rFonts w:ascii="Arial" w:hAnsi="Arial" w:cs="Arial"/>
                <w:sz w:val="20"/>
                <w:szCs w:val="20"/>
              </w:rPr>
              <w:t>Our work has established that the budget monitoring process has significantly improved over the past 12 months, with monthly budget monitoring reports issued.  The style and content of the report is now consistent across the two authorities and</w:t>
            </w:r>
            <w:r w:rsidRPr="00E92E28">
              <w:rPr>
                <w:rFonts w:ascii="Arial" w:hAnsi="Arial" w:cs="Arial"/>
                <w:bCs/>
                <w:sz w:val="20"/>
                <w:szCs w:val="20"/>
                <w:lang w:val="en-US" w:eastAsia="en-GB"/>
              </w:rPr>
              <w:t xml:space="preserve"> the use of narrative </w:t>
            </w:r>
            <w:r w:rsidRPr="00E92E28">
              <w:rPr>
                <w:rFonts w:ascii="Arial" w:hAnsi="Arial" w:cs="Arial"/>
                <w:sz w:val="20"/>
                <w:szCs w:val="20"/>
              </w:rPr>
              <w:t xml:space="preserve">helps to draw out any significant issues.   </w:t>
            </w:r>
          </w:p>
          <w:p w14:paraId="4F050AFD" w14:textId="77777777" w:rsidR="0057728A" w:rsidRPr="00E92E28" w:rsidRDefault="0057728A" w:rsidP="0057728A">
            <w:pPr>
              <w:jc w:val="both"/>
              <w:rPr>
                <w:rFonts w:ascii="Arial" w:hAnsi="Arial" w:cs="Arial"/>
                <w:i/>
                <w:sz w:val="20"/>
                <w:szCs w:val="20"/>
              </w:rPr>
            </w:pPr>
          </w:p>
          <w:p w14:paraId="0F836959" w14:textId="77777777" w:rsidR="0057728A" w:rsidRPr="00E92E28" w:rsidRDefault="0057728A" w:rsidP="0057728A">
            <w:pPr>
              <w:jc w:val="both"/>
              <w:rPr>
                <w:rFonts w:ascii="Arial" w:hAnsi="Arial" w:cs="Arial"/>
                <w:bCs/>
                <w:sz w:val="20"/>
                <w:szCs w:val="20"/>
                <w:lang w:val="en-US" w:eastAsia="en-GB"/>
              </w:rPr>
            </w:pPr>
            <w:r w:rsidRPr="00E92E28">
              <w:rPr>
                <w:rFonts w:ascii="Arial" w:hAnsi="Arial" w:cs="Arial"/>
                <w:bCs/>
                <w:sz w:val="20"/>
                <w:szCs w:val="20"/>
                <w:lang w:val="en-US" w:eastAsia="en-GB"/>
              </w:rPr>
              <w:t xml:space="preserve">There are no formal departmental procedures documented for finance staff to follow meaning there is a risk to the council that errors may occur and guidance notes or training for budget holders has not been carried out. </w:t>
            </w:r>
          </w:p>
          <w:p w14:paraId="749FF8FB" w14:textId="012E6B57" w:rsidR="007D78AF" w:rsidRPr="00152CF2" w:rsidRDefault="007D78AF" w:rsidP="005C6030">
            <w:pPr>
              <w:rPr>
                <w:rFonts w:ascii="Arial" w:hAnsi="Arial" w:cs="Arial"/>
                <w:sz w:val="20"/>
                <w:szCs w:val="20"/>
              </w:rPr>
            </w:pPr>
          </w:p>
        </w:tc>
      </w:tr>
      <w:tr w:rsidR="00F43552" w:rsidRPr="00152CF2" w14:paraId="381337B1" w14:textId="77777777" w:rsidTr="0057728A">
        <w:tc>
          <w:tcPr>
            <w:tcW w:w="2726" w:type="dxa"/>
          </w:tcPr>
          <w:p w14:paraId="1FA74303" w14:textId="6BDB08C4" w:rsidR="00F43552" w:rsidRPr="00152CF2" w:rsidRDefault="00F43552" w:rsidP="00536B47">
            <w:pPr>
              <w:rPr>
                <w:rFonts w:ascii="Arial" w:hAnsi="Arial" w:cs="Arial"/>
                <w:sz w:val="20"/>
                <w:szCs w:val="20"/>
              </w:rPr>
            </w:pPr>
            <w:r>
              <w:rPr>
                <w:rFonts w:ascii="Arial" w:hAnsi="Arial" w:cs="Arial"/>
                <w:sz w:val="20"/>
                <w:szCs w:val="20"/>
              </w:rPr>
              <w:t>Bank Reconciliation</w:t>
            </w:r>
          </w:p>
        </w:tc>
        <w:tc>
          <w:tcPr>
            <w:tcW w:w="1380" w:type="dxa"/>
            <w:shd w:val="clear" w:color="auto" w:fill="auto"/>
          </w:tcPr>
          <w:p w14:paraId="490D4DA7" w14:textId="77777777" w:rsidR="00F43552" w:rsidRDefault="00F43552" w:rsidP="005C6030">
            <w:pPr>
              <w:rPr>
                <w:rFonts w:ascii="Arial" w:hAnsi="Arial" w:cs="Arial"/>
                <w:sz w:val="20"/>
                <w:szCs w:val="20"/>
              </w:rPr>
            </w:pPr>
            <w:r>
              <w:rPr>
                <w:rFonts w:ascii="Arial" w:hAnsi="Arial" w:cs="Arial"/>
                <w:sz w:val="20"/>
                <w:szCs w:val="20"/>
              </w:rPr>
              <w:t>Not applicable</w:t>
            </w:r>
          </w:p>
          <w:p w14:paraId="6EC28102" w14:textId="5DB6CE18" w:rsidR="007814A3" w:rsidRPr="0057728A" w:rsidRDefault="007814A3" w:rsidP="005C6030">
            <w:pPr>
              <w:rPr>
                <w:rFonts w:ascii="Arial" w:hAnsi="Arial" w:cs="Arial"/>
                <w:sz w:val="20"/>
                <w:szCs w:val="20"/>
              </w:rPr>
            </w:pPr>
          </w:p>
        </w:tc>
        <w:tc>
          <w:tcPr>
            <w:tcW w:w="10490" w:type="dxa"/>
          </w:tcPr>
          <w:p w14:paraId="36DC2F66" w14:textId="47E8A2DA" w:rsidR="00F43552" w:rsidRPr="00E92E28" w:rsidRDefault="007814A3" w:rsidP="0057728A">
            <w:pPr>
              <w:jc w:val="both"/>
              <w:rPr>
                <w:rFonts w:ascii="Arial" w:hAnsi="Arial" w:cs="Arial"/>
                <w:sz w:val="20"/>
                <w:szCs w:val="20"/>
              </w:rPr>
            </w:pPr>
            <w:r>
              <w:rPr>
                <w:rFonts w:ascii="Arial" w:hAnsi="Arial" w:cs="Arial"/>
                <w:sz w:val="20"/>
                <w:szCs w:val="20"/>
              </w:rPr>
              <w:t>Whilst this was included as a separate review, bank reconciliations were included Income Collection and Treasury Management.</w:t>
            </w:r>
          </w:p>
        </w:tc>
      </w:tr>
      <w:tr w:rsidR="007D78AF" w:rsidRPr="00152CF2" w14:paraId="76B62DF1" w14:textId="77777777" w:rsidTr="00E92E28">
        <w:trPr>
          <w:trHeight w:val="1707"/>
        </w:trPr>
        <w:tc>
          <w:tcPr>
            <w:tcW w:w="2726" w:type="dxa"/>
          </w:tcPr>
          <w:p w14:paraId="0BB68E48" w14:textId="7D38ED86" w:rsidR="007D78AF" w:rsidRPr="00152CF2" w:rsidRDefault="007D78AF" w:rsidP="005C6030">
            <w:pPr>
              <w:rPr>
                <w:rFonts w:ascii="Arial" w:hAnsi="Arial" w:cs="Arial"/>
                <w:sz w:val="20"/>
                <w:szCs w:val="20"/>
              </w:rPr>
            </w:pPr>
            <w:r w:rsidRPr="00152CF2">
              <w:rPr>
                <w:rFonts w:ascii="Arial" w:hAnsi="Arial" w:cs="Arial"/>
                <w:sz w:val="20"/>
                <w:szCs w:val="20"/>
              </w:rPr>
              <w:t>Creditors</w:t>
            </w:r>
          </w:p>
        </w:tc>
        <w:tc>
          <w:tcPr>
            <w:tcW w:w="1380" w:type="dxa"/>
          </w:tcPr>
          <w:p w14:paraId="757D2A68" w14:textId="4F984128" w:rsidR="007D78AF" w:rsidRPr="00152CF2" w:rsidRDefault="00E92E28" w:rsidP="005C6030">
            <w:pPr>
              <w:rPr>
                <w:rFonts w:ascii="Arial" w:hAnsi="Arial" w:cs="Arial"/>
                <w:sz w:val="20"/>
                <w:szCs w:val="20"/>
              </w:rPr>
            </w:pPr>
            <w:r>
              <w:rPr>
                <w:rFonts w:ascii="Arial" w:hAnsi="Arial" w:cs="Arial"/>
                <w:sz w:val="20"/>
                <w:szCs w:val="20"/>
              </w:rPr>
              <w:t>Substantial</w:t>
            </w:r>
          </w:p>
        </w:tc>
        <w:tc>
          <w:tcPr>
            <w:tcW w:w="10490" w:type="dxa"/>
          </w:tcPr>
          <w:p w14:paraId="2DA29D08" w14:textId="3D705B09" w:rsidR="00E92E28" w:rsidRPr="00E92E28" w:rsidRDefault="00E92E28" w:rsidP="00E92E28">
            <w:pPr>
              <w:jc w:val="both"/>
              <w:rPr>
                <w:rFonts w:ascii="Arial" w:hAnsi="Arial" w:cs="Arial"/>
                <w:sz w:val="20"/>
                <w:szCs w:val="20"/>
              </w:rPr>
            </w:pPr>
            <w:r w:rsidRPr="00E92E28">
              <w:rPr>
                <w:rFonts w:ascii="Arial" w:hAnsi="Arial" w:cs="Arial"/>
                <w:sz w:val="20"/>
                <w:szCs w:val="20"/>
              </w:rPr>
              <w:t xml:space="preserve">Our work has confirmed that since our last review, a significant amount of work has been undertaken to improve the control environment since the 2019/20 review.  Controls in place for Creditors are generally well established and operating as intended, and a number of processes have been strengthened.  </w:t>
            </w:r>
          </w:p>
          <w:p w14:paraId="526EFD9E" w14:textId="77777777" w:rsidR="00E92E28" w:rsidRPr="00E92E28" w:rsidRDefault="00E92E28" w:rsidP="00E92E28">
            <w:pPr>
              <w:jc w:val="both"/>
              <w:rPr>
                <w:rFonts w:ascii="Arial" w:hAnsi="Arial" w:cs="Arial"/>
                <w:sz w:val="20"/>
                <w:szCs w:val="20"/>
              </w:rPr>
            </w:pPr>
          </w:p>
          <w:p w14:paraId="5FD1CFB9" w14:textId="73FCAC8C" w:rsidR="00E92E28" w:rsidRPr="00E92E28" w:rsidRDefault="00E92E28" w:rsidP="00E92E28">
            <w:pPr>
              <w:jc w:val="both"/>
              <w:rPr>
                <w:rFonts w:ascii="Arial" w:hAnsi="Arial" w:cs="Arial"/>
                <w:sz w:val="20"/>
                <w:szCs w:val="20"/>
              </w:rPr>
            </w:pPr>
            <w:r w:rsidRPr="00E92E28">
              <w:rPr>
                <w:rFonts w:ascii="Arial" w:hAnsi="Arial" w:cs="Arial"/>
                <w:sz w:val="20"/>
                <w:szCs w:val="20"/>
              </w:rPr>
              <w:t>There are only a couple of areas which could be further strengthened and actions have been agreed in relation to these.</w:t>
            </w:r>
          </w:p>
          <w:p w14:paraId="5450A9D2" w14:textId="0B31DA58" w:rsidR="007D78AF" w:rsidRPr="00E92E28" w:rsidRDefault="007D78AF" w:rsidP="005C6030">
            <w:pPr>
              <w:rPr>
                <w:rFonts w:ascii="Arial" w:hAnsi="Arial" w:cs="Arial"/>
                <w:sz w:val="20"/>
                <w:szCs w:val="20"/>
              </w:rPr>
            </w:pPr>
          </w:p>
          <w:p w14:paraId="5DD0D835" w14:textId="184CC5E5" w:rsidR="007D78AF" w:rsidRPr="00E92E28" w:rsidRDefault="007D78AF" w:rsidP="005C6030">
            <w:pPr>
              <w:rPr>
                <w:rFonts w:ascii="Arial" w:hAnsi="Arial" w:cs="Arial"/>
                <w:sz w:val="20"/>
                <w:szCs w:val="20"/>
              </w:rPr>
            </w:pPr>
          </w:p>
        </w:tc>
      </w:tr>
      <w:tr w:rsidR="007D78AF" w:rsidRPr="00152CF2" w14:paraId="43CFA7B8" w14:textId="77777777" w:rsidTr="00E92E28">
        <w:tc>
          <w:tcPr>
            <w:tcW w:w="2726" w:type="dxa"/>
          </w:tcPr>
          <w:p w14:paraId="2BF7142B" w14:textId="77777777" w:rsidR="007D78AF" w:rsidRPr="00152CF2" w:rsidRDefault="007D78AF" w:rsidP="00536B47">
            <w:pPr>
              <w:rPr>
                <w:rFonts w:ascii="Arial" w:hAnsi="Arial" w:cs="Arial"/>
                <w:sz w:val="20"/>
                <w:szCs w:val="20"/>
              </w:rPr>
            </w:pPr>
            <w:r w:rsidRPr="00152CF2">
              <w:rPr>
                <w:rFonts w:ascii="Arial" w:hAnsi="Arial" w:cs="Arial"/>
                <w:sz w:val="20"/>
                <w:szCs w:val="20"/>
              </w:rPr>
              <w:t xml:space="preserve">Treasury Management </w:t>
            </w:r>
          </w:p>
          <w:p w14:paraId="460D70C2" w14:textId="77777777" w:rsidR="007D78AF" w:rsidRPr="00152CF2" w:rsidRDefault="007D78AF" w:rsidP="005C6030">
            <w:pPr>
              <w:rPr>
                <w:rFonts w:ascii="Arial" w:hAnsi="Arial" w:cs="Arial"/>
                <w:sz w:val="20"/>
                <w:szCs w:val="20"/>
              </w:rPr>
            </w:pPr>
          </w:p>
        </w:tc>
        <w:tc>
          <w:tcPr>
            <w:tcW w:w="1380" w:type="dxa"/>
            <w:shd w:val="clear" w:color="auto" w:fill="auto"/>
          </w:tcPr>
          <w:p w14:paraId="0CABA636" w14:textId="34B59712" w:rsidR="007D78AF" w:rsidRPr="00E92E28" w:rsidRDefault="007D78AF" w:rsidP="005C6030">
            <w:pPr>
              <w:rPr>
                <w:rFonts w:ascii="Arial" w:hAnsi="Arial" w:cs="Arial"/>
                <w:sz w:val="20"/>
                <w:szCs w:val="20"/>
              </w:rPr>
            </w:pPr>
            <w:r w:rsidRPr="00E92E28">
              <w:rPr>
                <w:rFonts w:ascii="Arial" w:hAnsi="Arial" w:cs="Arial"/>
                <w:sz w:val="20"/>
                <w:szCs w:val="20"/>
              </w:rPr>
              <w:t>Substantial</w:t>
            </w:r>
          </w:p>
        </w:tc>
        <w:tc>
          <w:tcPr>
            <w:tcW w:w="10490" w:type="dxa"/>
          </w:tcPr>
          <w:p w14:paraId="7F96CFF2" w14:textId="20E585F8" w:rsidR="007D78AF" w:rsidRPr="00152CF2" w:rsidRDefault="007D78AF" w:rsidP="00140ABA">
            <w:pPr>
              <w:rPr>
                <w:rFonts w:ascii="Arial" w:hAnsi="Arial" w:cs="Arial"/>
                <w:sz w:val="20"/>
                <w:szCs w:val="20"/>
              </w:rPr>
            </w:pPr>
            <w:r w:rsidRPr="00152CF2">
              <w:rPr>
                <w:rFonts w:ascii="Arial" w:hAnsi="Arial" w:cs="Arial"/>
                <w:sz w:val="20"/>
                <w:szCs w:val="20"/>
              </w:rPr>
              <w:t>The Treasury Management Service fulfils an important role in the overall financial management of the Council’s affairs.  It deals with ‘the management of the authority’s investments and cashflows, its banking, money market and capital market transactions; the control of the risks associated with those activities; and the pursuit of optimum performance consistent with those risks’ (CIPFA).</w:t>
            </w:r>
          </w:p>
          <w:p w14:paraId="20514533" w14:textId="68D881A7" w:rsidR="007D78AF" w:rsidRPr="00152CF2" w:rsidRDefault="007D78AF" w:rsidP="00140ABA">
            <w:pPr>
              <w:rPr>
                <w:rFonts w:ascii="Arial" w:hAnsi="Arial" w:cs="Arial"/>
                <w:sz w:val="20"/>
                <w:szCs w:val="20"/>
              </w:rPr>
            </w:pPr>
          </w:p>
          <w:p w14:paraId="54F2D27C" w14:textId="1B2E51A0" w:rsidR="007D78AF" w:rsidRPr="00152CF2" w:rsidRDefault="007D78AF" w:rsidP="00140ABA">
            <w:pPr>
              <w:rPr>
                <w:rFonts w:ascii="Arial" w:hAnsi="Arial" w:cs="Arial"/>
                <w:sz w:val="20"/>
                <w:szCs w:val="20"/>
              </w:rPr>
            </w:pPr>
            <w:r w:rsidRPr="00152CF2">
              <w:rPr>
                <w:rFonts w:ascii="Arial" w:hAnsi="Arial" w:cs="Arial"/>
                <w:sz w:val="20"/>
                <w:szCs w:val="20"/>
              </w:rPr>
              <w:lastRenderedPageBreak/>
              <w:t>Our work confirmed that the controls in place for Treasury Management are well established and generally operating as intended with only a few minor improvements required to strengthen operational procedures</w:t>
            </w:r>
          </w:p>
          <w:p w14:paraId="30141007" w14:textId="77777777" w:rsidR="007D78AF" w:rsidRPr="00152CF2" w:rsidRDefault="007D78AF" w:rsidP="005C6030">
            <w:pPr>
              <w:rPr>
                <w:rFonts w:ascii="Arial" w:hAnsi="Arial" w:cs="Arial"/>
                <w:sz w:val="20"/>
                <w:szCs w:val="20"/>
              </w:rPr>
            </w:pPr>
          </w:p>
        </w:tc>
      </w:tr>
      <w:tr w:rsidR="007D78AF" w:rsidRPr="00152CF2" w14:paraId="05FA233F" w14:textId="77777777" w:rsidTr="00E92E28">
        <w:tc>
          <w:tcPr>
            <w:tcW w:w="2726" w:type="dxa"/>
          </w:tcPr>
          <w:p w14:paraId="06168879" w14:textId="77777777" w:rsidR="007D78AF" w:rsidRPr="00152CF2" w:rsidRDefault="007D78AF" w:rsidP="00140ABA">
            <w:pPr>
              <w:rPr>
                <w:rFonts w:ascii="Arial" w:hAnsi="Arial" w:cs="Arial"/>
                <w:sz w:val="20"/>
                <w:szCs w:val="20"/>
              </w:rPr>
            </w:pPr>
            <w:r w:rsidRPr="00152CF2">
              <w:rPr>
                <w:rFonts w:ascii="Arial" w:hAnsi="Arial" w:cs="Arial"/>
                <w:sz w:val="20"/>
                <w:szCs w:val="20"/>
              </w:rPr>
              <w:lastRenderedPageBreak/>
              <w:t xml:space="preserve">Income collection </w:t>
            </w:r>
          </w:p>
          <w:p w14:paraId="1062106B" w14:textId="77777777" w:rsidR="007D78AF" w:rsidRPr="00152CF2" w:rsidRDefault="007D78AF" w:rsidP="005C6030">
            <w:pPr>
              <w:rPr>
                <w:rFonts w:ascii="Arial" w:hAnsi="Arial" w:cs="Arial"/>
                <w:sz w:val="20"/>
                <w:szCs w:val="20"/>
              </w:rPr>
            </w:pPr>
          </w:p>
        </w:tc>
        <w:tc>
          <w:tcPr>
            <w:tcW w:w="1380" w:type="dxa"/>
            <w:shd w:val="clear" w:color="auto" w:fill="auto"/>
          </w:tcPr>
          <w:p w14:paraId="1D1C92CB" w14:textId="0E664A1A" w:rsidR="007D78AF" w:rsidRPr="00E92E28" w:rsidRDefault="007D78AF" w:rsidP="005C6030">
            <w:pPr>
              <w:rPr>
                <w:rFonts w:ascii="Arial" w:hAnsi="Arial" w:cs="Arial"/>
                <w:sz w:val="20"/>
                <w:szCs w:val="20"/>
              </w:rPr>
            </w:pPr>
            <w:r w:rsidRPr="00E92E28">
              <w:rPr>
                <w:rFonts w:ascii="Arial" w:hAnsi="Arial" w:cs="Arial"/>
                <w:sz w:val="20"/>
                <w:szCs w:val="20"/>
              </w:rPr>
              <w:t>Adequate</w:t>
            </w:r>
          </w:p>
        </w:tc>
        <w:tc>
          <w:tcPr>
            <w:tcW w:w="10490" w:type="dxa"/>
          </w:tcPr>
          <w:p w14:paraId="028F4B9B" w14:textId="77777777" w:rsidR="007D78AF" w:rsidRPr="00152CF2" w:rsidRDefault="007D78AF" w:rsidP="00140ABA">
            <w:pPr>
              <w:rPr>
                <w:rFonts w:ascii="Arial" w:hAnsi="Arial" w:cs="Arial"/>
                <w:sz w:val="20"/>
                <w:szCs w:val="20"/>
              </w:rPr>
            </w:pPr>
            <w:r w:rsidRPr="00152CF2">
              <w:rPr>
                <w:rFonts w:ascii="Arial" w:hAnsi="Arial" w:cs="Arial"/>
                <w:sz w:val="20"/>
                <w:szCs w:val="20"/>
              </w:rPr>
              <w:t>Our work established that the Council has sufficient arrangements in place for the collection, receipting and banking of Council income via the cash office and via other channels such as payments received via the website, post office and telephone, however some w</w:t>
            </w:r>
            <w:bookmarkStart w:id="1" w:name="_GoBack"/>
            <w:bookmarkEnd w:id="1"/>
            <w:r w:rsidRPr="00152CF2">
              <w:rPr>
                <w:rFonts w:ascii="Arial" w:hAnsi="Arial" w:cs="Arial"/>
                <w:sz w:val="20"/>
                <w:szCs w:val="20"/>
              </w:rPr>
              <w:t>eaknesses were identified in other areas including:</w:t>
            </w:r>
          </w:p>
          <w:p w14:paraId="4E541E06" w14:textId="77777777" w:rsidR="007D78AF" w:rsidRPr="00152CF2" w:rsidRDefault="007D78AF" w:rsidP="00140ABA">
            <w:pPr>
              <w:rPr>
                <w:rFonts w:ascii="Arial" w:hAnsi="Arial" w:cs="Arial"/>
                <w:sz w:val="20"/>
                <w:szCs w:val="20"/>
              </w:rPr>
            </w:pPr>
          </w:p>
          <w:p w14:paraId="0C10A62D" w14:textId="77777777" w:rsidR="007D78AF" w:rsidRPr="00152CF2" w:rsidRDefault="007D78AF" w:rsidP="00140ABA">
            <w:pPr>
              <w:pStyle w:val="ListParagraph"/>
              <w:numPr>
                <w:ilvl w:val="0"/>
                <w:numId w:val="5"/>
              </w:numPr>
              <w:rPr>
                <w:rFonts w:ascii="Arial" w:hAnsi="Arial" w:cs="Arial"/>
                <w:bCs/>
                <w:iCs/>
                <w:sz w:val="20"/>
                <w:szCs w:val="20"/>
              </w:rPr>
            </w:pPr>
            <w:r w:rsidRPr="00152CF2">
              <w:rPr>
                <w:rFonts w:ascii="Arial" w:hAnsi="Arial" w:cs="Arial"/>
                <w:bCs/>
                <w:iCs/>
                <w:sz w:val="20"/>
                <w:szCs w:val="20"/>
              </w:rPr>
              <w:t>The lack of an overarching banking and cash handling policy;</w:t>
            </w:r>
          </w:p>
          <w:p w14:paraId="75C3B63B" w14:textId="77777777" w:rsidR="007D78AF" w:rsidRPr="00152CF2" w:rsidRDefault="007D78AF" w:rsidP="00140ABA">
            <w:pPr>
              <w:pStyle w:val="ListParagraph"/>
              <w:numPr>
                <w:ilvl w:val="0"/>
                <w:numId w:val="5"/>
              </w:numPr>
              <w:rPr>
                <w:rFonts w:ascii="Arial" w:hAnsi="Arial" w:cs="Arial"/>
                <w:bCs/>
                <w:iCs/>
                <w:sz w:val="20"/>
                <w:szCs w:val="20"/>
              </w:rPr>
            </w:pPr>
            <w:r w:rsidRPr="00152CF2">
              <w:rPr>
                <w:rFonts w:ascii="Arial" w:hAnsi="Arial" w:cs="Arial"/>
                <w:bCs/>
                <w:iCs/>
                <w:sz w:val="20"/>
                <w:szCs w:val="20"/>
              </w:rPr>
              <w:t>Improvements to the income reconciliation process (in relation to income directly from Chorley Leisure Ltd);</w:t>
            </w:r>
          </w:p>
          <w:p w14:paraId="7032E3E0" w14:textId="77777777" w:rsidR="007D78AF" w:rsidRPr="00152CF2" w:rsidRDefault="007D78AF" w:rsidP="00140ABA">
            <w:pPr>
              <w:pStyle w:val="ListParagraph"/>
              <w:numPr>
                <w:ilvl w:val="0"/>
                <w:numId w:val="5"/>
              </w:numPr>
              <w:rPr>
                <w:rFonts w:ascii="Arial" w:hAnsi="Arial" w:cs="Arial"/>
                <w:bCs/>
                <w:iCs/>
                <w:sz w:val="20"/>
                <w:szCs w:val="20"/>
              </w:rPr>
            </w:pPr>
            <w:r w:rsidRPr="00152CF2">
              <w:rPr>
                <w:rFonts w:ascii="Arial" w:hAnsi="Arial" w:cs="Arial"/>
                <w:bCs/>
                <w:iCs/>
                <w:sz w:val="20"/>
                <w:szCs w:val="20"/>
              </w:rPr>
              <w:t xml:space="preserve">Establishing controls to restrict access to the dedicated cash receipting system and </w:t>
            </w:r>
          </w:p>
          <w:p w14:paraId="6B5CFEAF" w14:textId="77777777" w:rsidR="007D78AF" w:rsidRPr="00152CF2" w:rsidRDefault="007D78AF" w:rsidP="00140ABA">
            <w:pPr>
              <w:pStyle w:val="ListParagraph"/>
              <w:numPr>
                <w:ilvl w:val="0"/>
                <w:numId w:val="5"/>
              </w:numPr>
              <w:rPr>
                <w:rFonts w:ascii="Arial" w:hAnsi="Arial" w:cs="Arial"/>
                <w:bCs/>
                <w:iCs/>
                <w:sz w:val="20"/>
                <w:szCs w:val="20"/>
              </w:rPr>
            </w:pPr>
            <w:r w:rsidRPr="00152CF2">
              <w:rPr>
                <w:rFonts w:ascii="Arial" w:hAnsi="Arial" w:cs="Arial"/>
                <w:bCs/>
                <w:iCs/>
                <w:sz w:val="20"/>
                <w:szCs w:val="20"/>
              </w:rPr>
              <w:t>Strengthening the supervisory / management checks.</w:t>
            </w:r>
          </w:p>
          <w:p w14:paraId="6C3838E1" w14:textId="77777777" w:rsidR="007D78AF" w:rsidRPr="00152CF2" w:rsidRDefault="007D78AF" w:rsidP="005C6030">
            <w:pPr>
              <w:rPr>
                <w:rFonts w:ascii="Arial" w:hAnsi="Arial" w:cs="Arial"/>
                <w:sz w:val="20"/>
                <w:szCs w:val="20"/>
              </w:rPr>
            </w:pPr>
          </w:p>
        </w:tc>
      </w:tr>
    </w:tbl>
    <w:p w14:paraId="4EBFFD3B" w14:textId="091A5759" w:rsidR="00D56BE3" w:rsidRPr="00152CF2" w:rsidRDefault="00D56BE3">
      <w:pPr>
        <w:rPr>
          <w:rFonts w:ascii="Arial" w:hAnsi="Arial" w:cs="Arial"/>
          <w:sz w:val="20"/>
          <w:szCs w:val="20"/>
        </w:rPr>
      </w:pPr>
    </w:p>
    <w:p w14:paraId="16E96FE7" w14:textId="1476B721" w:rsidR="002634B5" w:rsidRPr="00152CF2" w:rsidRDefault="002634B5">
      <w:pPr>
        <w:rPr>
          <w:rFonts w:ascii="Arial" w:hAnsi="Arial" w:cs="Arial"/>
          <w:sz w:val="20"/>
          <w:szCs w:val="20"/>
        </w:rPr>
      </w:pPr>
    </w:p>
    <w:p w14:paraId="295C2809" w14:textId="77777777" w:rsidR="002634B5" w:rsidRPr="00152CF2" w:rsidRDefault="002634B5">
      <w:pPr>
        <w:rPr>
          <w:rFonts w:ascii="Arial" w:hAnsi="Arial" w:cs="Arial"/>
          <w:sz w:val="20"/>
          <w:szCs w:val="20"/>
        </w:rPr>
      </w:pPr>
    </w:p>
    <w:sectPr w:rsidR="002634B5" w:rsidRPr="00152CF2" w:rsidSect="002634B5">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A7AA2" w14:textId="77777777" w:rsidR="003044A2" w:rsidRDefault="003044A2" w:rsidP="001E2DCA">
      <w:pPr>
        <w:spacing w:after="0" w:line="240" w:lineRule="auto"/>
      </w:pPr>
      <w:r>
        <w:separator/>
      </w:r>
    </w:p>
  </w:endnote>
  <w:endnote w:type="continuationSeparator" w:id="0">
    <w:p w14:paraId="43A55634" w14:textId="77777777" w:rsidR="003044A2" w:rsidRDefault="003044A2" w:rsidP="001E2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FB0A1" w14:textId="77777777" w:rsidR="003044A2" w:rsidRDefault="003044A2" w:rsidP="001E2DCA">
      <w:pPr>
        <w:spacing w:after="0" w:line="240" w:lineRule="auto"/>
      </w:pPr>
      <w:r>
        <w:separator/>
      </w:r>
    </w:p>
  </w:footnote>
  <w:footnote w:type="continuationSeparator" w:id="0">
    <w:p w14:paraId="75D03760" w14:textId="77777777" w:rsidR="003044A2" w:rsidRDefault="003044A2" w:rsidP="001E2D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083CD" w14:textId="6179A5FC" w:rsidR="001E2DCA" w:rsidRPr="00E5295C" w:rsidRDefault="00E5295C" w:rsidP="00E5295C">
    <w:pPr>
      <w:tabs>
        <w:tab w:val="center" w:pos="6979"/>
        <w:tab w:val="left" w:pos="10030"/>
      </w:tabs>
      <w:rPr>
        <w:b/>
        <w:bCs/>
        <w:sz w:val="16"/>
        <w:szCs w:val="16"/>
      </w:rPr>
    </w:pPr>
    <w:r>
      <w:rPr>
        <w:b/>
        <w:bCs/>
        <w:sz w:val="24"/>
        <w:szCs w:val="24"/>
      </w:rPr>
      <w:tab/>
    </w:r>
    <w:r w:rsidR="001E2DCA" w:rsidRPr="001E2DCA">
      <w:rPr>
        <w:b/>
        <w:bCs/>
        <w:sz w:val="24"/>
        <w:szCs w:val="24"/>
      </w:rPr>
      <w:t>Summary of Internal Audit Work 2021/22</w:t>
    </w:r>
    <w:r>
      <w:rPr>
        <w:b/>
        <w:bCs/>
        <w:sz w:val="24"/>
        <w:szCs w:val="24"/>
      </w:rPr>
      <w:tab/>
    </w:r>
    <w:r w:rsidRPr="00E5295C">
      <w:rPr>
        <w:b/>
        <w:bCs/>
        <w:sz w:val="16"/>
        <w:szCs w:val="16"/>
      </w:rPr>
      <w:t xml:space="preserve">                                                     Appendix</w:t>
    </w:r>
    <w:r>
      <w:rPr>
        <w:b/>
        <w:bCs/>
        <w:sz w:val="24"/>
        <w:szCs w:val="24"/>
      </w:rPr>
      <w:t xml:space="preserve"> </w:t>
    </w:r>
    <w:r w:rsidRPr="00E5295C">
      <w:rPr>
        <w:b/>
        <w:bCs/>
        <w:sz w:val="16"/>
        <w:szCs w:val="16"/>
      </w:rPr>
      <w:t>A</w:t>
    </w:r>
  </w:p>
  <w:tbl>
    <w:tblPr>
      <w:tblStyle w:val="TableGrid"/>
      <w:tblW w:w="14596" w:type="dxa"/>
      <w:tblLayout w:type="fixed"/>
      <w:tblLook w:val="04A0" w:firstRow="1" w:lastRow="0" w:firstColumn="1" w:lastColumn="0" w:noHBand="0" w:noVBand="1"/>
    </w:tblPr>
    <w:tblGrid>
      <w:gridCol w:w="2726"/>
      <w:gridCol w:w="1380"/>
      <w:gridCol w:w="10490"/>
    </w:tblGrid>
    <w:tr w:rsidR="007D78AF" w14:paraId="04891368" w14:textId="77777777" w:rsidTr="007D78AF">
      <w:tc>
        <w:tcPr>
          <w:tcW w:w="2726" w:type="dxa"/>
          <w:shd w:val="clear" w:color="auto" w:fill="D9E2F3" w:themeFill="accent1" w:themeFillTint="33"/>
        </w:tcPr>
        <w:p w14:paraId="56DD0725" w14:textId="089A3EA6" w:rsidR="007D78AF" w:rsidRPr="001E2DCA" w:rsidRDefault="006B2DC7" w:rsidP="001E2DCA">
          <w:pPr>
            <w:rPr>
              <w:b/>
              <w:bCs/>
            </w:rPr>
          </w:pPr>
          <w:r>
            <w:rPr>
              <w:b/>
              <w:bCs/>
            </w:rPr>
            <w:t>Internal Audit Plan 2021-22</w:t>
          </w:r>
        </w:p>
      </w:tc>
      <w:tc>
        <w:tcPr>
          <w:tcW w:w="1380" w:type="dxa"/>
          <w:shd w:val="clear" w:color="auto" w:fill="D9E2F3" w:themeFill="accent1" w:themeFillTint="33"/>
        </w:tcPr>
        <w:p w14:paraId="7867EEB4" w14:textId="77777777" w:rsidR="007D78AF" w:rsidRPr="001E2DCA" w:rsidRDefault="007D78AF" w:rsidP="001E2DCA">
          <w:pPr>
            <w:rPr>
              <w:b/>
              <w:bCs/>
            </w:rPr>
          </w:pPr>
          <w:r w:rsidRPr="001E2DCA">
            <w:rPr>
              <w:b/>
              <w:bCs/>
            </w:rPr>
            <w:t>Assurance Rating</w:t>
          </w:r>
        </w:p>
      </w:tc>
      <w:tc>
        <w:tcPr>
          <w:tcW w:w="10490" w:type="dxa"/>
          <w:shd w:val="clear" w:color="auto" w:fill="D9E2F3" w:themeFill="accent1" w:themeFillTint="33"/>
        </w:tcPr>
        <w:p w14:paraId="463D6E8B" w14:textId="77777777" w:rsidR="007D78AF" w:rsidRPr="001E2DCA" w:rsidRDefault="007D78AF" w:rsidP="001E2DCA">
          <w:pPr>
            <w:rPr>
              <w:b/>
              <w:bCs/>
            </w:rPr>
          </w:pPr>
          <w:r w:rsidRPr="001E2DCA">
            <w:rPr>
              <w:b/>
              <w:bCs/>
            </w:rPr>
            <w:t>Commentary</w:t>
          </w:r>
        </w:p>
      </w:tc>
    </w:tr>
  </w:tbl>
  <w:p w14:paraId="0FC9D8D5" w14:textId="58F93E43" w:rsidR="001E2DCA" w:rsidRDefault="001E2DCA">
    <w:pPr>
      <w:pStyle w:val="Header"/>
    </w:pPr>
  </w:p>
  <w:p w14:paraId="685F1A78" w14:textId="77777777" w:rsidR="001E2DCA" w:rsidRDefault="001E2D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B305E"/>
    <w:multiLevelType w:val="hybridMultilevel"/>
    <w:tmpl w:val="C6F65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805A31"/>
    <w:multiLevelType w:val="hybridMultilevel"/>
    <w:tmpl w:val="9B0A5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CCD23A2"/>
    <w:multiLevelType w:val="hybridMultilevel"/>
    <w:tmpl w:val="AF20F6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4C130DE"/>
    <w:multiLevelType w:val="hybridMultilevel"/>
    <w:tmpl w:val="AB4E5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FD6DD8"/>
    <w:multiLevelType w:val="hybridMultilevel"/>
    <w:tmpl w:val="E2741314"/>
    <w:lvl w:ilvl="0" w:tplc="61BC064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BF00E5"/>
    <w:multiLevelType w:val="hybridMultilevel"/>
    <w:tmpl w:val="C35C3814"/>
    <w:lvl w:ilvl="0" w:tplc="4FE20566">
      <w:start w:val="1"/>
      <w:numFmt w:val="decimal"/>
      <w:lvlText w:val="%1."/>
      <w:lvlJc w:val="left"/>
      <w:pPr>
        <w:ind w:left="360" w:hanging="360"/>
      </w:pPr>
      <w:rPr>
        <w:rFonts w:hint="default"/>
        <w:b w:val="0"/>
        <w:bCs w:val="0"/>
        <w:i w:val="0"/>
        <w:color w:val="auto"/>
        <w:sz w:val="22"/>
        <w:szCs w:val="22"/>
      </w:rPr>
    </w:lvl>
    <w:lvl w:ilvl="1" w:tplc="978E8F6A" w:tentative="1">
      <w:start w:val="1"/>
      <w:numFmt w:val="lowerLetter"/>
      <w:lvlText w:val="%2."/>
      <w:lvlJc w:val="left"/>
      <w:pPr>
        <w:ind w:left="1080" w:hanging="360"/>
      </w:pPr>
    </w:lvl>
    <w:lvl w:ilvl="2" w:tplc="5D4E0036" w:tentative="1">
      <w:start w:val="1"/>
      <w:numFmt w:val="lowerRoman"/>
      <w:lvlText w:val="%3."/>
      <w:lvlJc w:val="right"/>
      <w:pPr>
        <w:ind w:left="1800" w:hanging="180"/>
      </w:pPr>
    </w:lvl>
    <w:lvl w:ilvl="3" w:tplc="5288B320" w:tentative="1">
      <w:start w:val="1"/>
      <w:numFmt w:val="decimal"/>
      <w:lvlText w:val="%4."/>
      <w:lvlJc w:val="left"/>
      <w:pPr>
        <w:ind w:left="2520" w:hanging="360"/>
      </w:pPr>
    </w:lvl>
    <w:lvl w:ilvl="4" w:tplc="6D8061A2" w:tentative="1">
      <w:start w:val="1"/>
      <w:numFmt w:val="lowerLetter"/>
      <w:lvlText w:val="%5."/>
      <w:lvlJc w:val="left"/>
      <w:pPr>
        <w:ind w:left="3240" w:hanging="360"/>
      </w:pPr>
    </w:lvl>
    <w:lvl w:ilvl="5" w:tplc="19C4F24A" w:tentative="1">
      <w:start w:val="1"/>
      <w:numFmt w:val="lowerRoman"/>
      <w:lvlText w:val="%6."/>
      <w:lvlJc w:val="right"/>
      <w:pPr>
        <w:ind w:left="3960" w:hanging="180"/>
      </w:pPr>
    </w:lvl>
    <w:lvl w:ilvl="6" w:tplc="B48E48A8" w:tentative="1">
      <w:start w:val="1"/>
      <w:numFmt w:val="decimal"/>
      <w:lvlText w:val="%7."/>
      <w:lvlJc w:val="left"/>
      <w:pPr>
        <w:ind w:left="4680" w:hanging="360"/>
      </w:pPr>
    </w:lvl>
    <w:lvl w:ilvl="7" w:tplc="A7D4E73E" w:tentative="1">
      <w:start w:val="1"/>
      <w:numFmt w:val="lowerLetter"/>
      <w:lvlText w:val="%8."/>
      <w:lvlJc w:val="left"/>
      <w:pPr>
        <w:ind w:left="5400" w:hanging="360"/>
      </w:pPr>
    </w:lvl>
    <w:lvl w:ilvl="8" w:tplc="ED6CCE94" w:tentative="1">
      <w:start w:val="1"/>
      <w:numFmt w:val="lowerRoman"/>
      <w:lvlText w:val="%9."/>
      <w:lvlJc w:val="right"/>
      <w:pPr>
        <w:ind w:left="6120" w:hanging="180"/>
      </w:pPr>
    </w:lvl>
  </w:abstractNum>
  <w:abstractNum w:abstractNumId="6" w15:restartNumberingAfterBreak="0">
    <w:nsid w:val="6558296A"/>
    <w:multiLevelType w:val="hybridMultilevel"/>
    <w:tmpl w:val="F92A4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5E10CB"/>
    <w:multiLevelType w:val="hybridMultilevel"/>
    <w:tmpl w:val="E8CA42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6"/>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4B5"/>
    <w:rsid w:val="00065D07"/>
    <w:rsid w:val="00140ABA"/>
    <w:rsid w:val="00152CF2"/>
    <w:rsid w:val="001929F2"/>
    <w:rsid w:val="001E2DCA"/>
    <w:rsid w:val="00213295"/>
    <w:rsid w:val="002634B5"/>
    <w:rsid w:val="002C35B2"/>
    <w:rsid w:val="003044A2"/>
    <w:rsid w:val="003860AD"/>
    <w:rsid w:val="00406DB7"/>
    <w:rsid w:val="00464B7A"/>
    <w:rsid w:val="00536B47"/>
    <w:rsid w:val="0057728A"/>
    <w:rsid w:val="005C6030"/>
    <w:rsid w:val="005D71CD"/>
    <w:rsid w:val="0061723E"/>
    <w:rsid w:val="006B070B"/>
    <w:rsid w:val="006B2DC7"/>
    <w:rsid w:val="0070351F"/>
    <w:rsid w:val="00740559"/>
    <w:rsid w:val="007814A3"/>
    <w:rsid w:val="00787CFB"/>
    <w:rsid w:val="007B40E0"/>
    <w:rsid w:val="007D78AF"/>
    <w:rsid w:val="00812C92"/>
    <w:rsid w:val="00AE1775"/>
    <w:rsid w:val="00C406C1"/>
    <w:rsid w:val="00D56BE3"/>
    <w:rsid w:val="00DB0BF6"/>
    <w:rsid w:val="00E2468E"/>
    <w:rsid w:val="00E4481F"/>
    <w:rsid w:val="00E5295C"/>
    <w:rsid w:val="00E80346"/>
    <w:rsid w:val="00E92E28"/>
    <w:rsid w:val="00F12904"/>
    <w:rsid w:val="00F43552"/>
    <w:rsid w:val="00FF63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5308D"/>
  <w15:chartTrackingRefBased/>
  <w15:docId w15:val="{7C45318C-FC36-4002-ADD0-5F9A73D08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B2DC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3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2D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2DCA"/>
  </w:style>
  <w:style w:type="paragraph" w:styleId="Footer">
    <w:name w:val="footer"/>
    <w:basedOn w:val="Normal"/>
    <w:link w:val="FooterChar"/>
    <w:uiPriority w:val="99"/>
    <w:unhideWhenUsed/>
    <w:rsid w:val="001E2D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2DCA"/>
  </w:style>
  <w:style w:type="paragraph" w:customStyle="1" w:styleId="Default">
    <w:name w:val="Default"/>
    <w:rsid w:val="0074055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F12904"/>
    <w:pPr>
      <w:ind w:left="720"/>
      <w:contextualSpacing/>
    </w:pPr>
  </w:style>
  <w:style w:type="paragraph" w:styleId="BalloonText">
    <w:name w:val="Balloon Text"/>
    <w:basedOn w:val="Normal"/>
    <w:link w:val="BalloonTextChar"/>
    <w:uiPriority w:val="99"/>
    <w:semiHidden/>
    <w:unhideWhenUsed/>
    <w:rsid w:val="007035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51F"/>
    <w:rPr>
      <w:rFonts w:ascii="Segoe UI" w:hAnsi="Segoe UI" w:cs="Segoe UI"/>
      <w:sz w:val="18"/>
      <w:szCs w:val="18"/>
    </w:rPr>
  </w:style>
  <w:style w:type="character" w:customStyle="1" w:styleId="Heading2Char">
    <w:name w:val="Heading 2 Char"/>
    <w:basedOn w:val="DefaultParagraphFont"/>
    <w:link w:val="Heading2"/>
    <w:uiPriority w:val="9"/>
    <w:rsid w:val="006B2DC7"/>
    <w:rPr>
      <w:rFonts w:ascii="Times New Roman" w:eastAsia="Times New Roman" w:hAnsi="Times New Roman" w:cs="Times New Roman"/>
      <w:b/>
      <w:bCs/>
      <w:sz w:val="36"/>
      <w:szCs w:val="36"/>
      <w:lang w:eastAsia="en-GB"/>
    </w:rPr>
  </w:style>
  <w:style w:type="character" w:styleId="CommentReference">
    <w:name w:val="annotation reference"/>
    <w:basedOn w:val="DefaultParagraphFont"/>
    <w:uiPriority w:val="99"/>
    <w:semiHidden/>
    <w:unhideWhenUsed/>
    <w:rsid w:val="00406DB7"/>
    <w:rPr>
      <w:sz w:val="16"/>
      <w:szCs w:val="16"/>
    </w:rPr>
  </w:style>
  <w:style w:type="paragraph" w:styleId="CommentText">
    <w:name w:val="annotation text"/>
    <w:basedOn w:val="Normal"/>
    <w:link w:val="CommentTextChar"/>
    <w:uiPriority w:val="99"/>
    <w:semiHidden/>
    <w:unhideWhenUsed/>
    <w:rsid w:val="00406DB7"/>
    <w:pPr>
      <w:spacing w:line="240" w:lineRule="auto"/>
    </w:pPr>
    <w:rPr>
      <w:sz w:val="20"/>
      <w:szCs w:val="20"/>
    </w:rPr>
  </w:style>
  <w:style w:type="character" w:customStyle="1" w:styleId="CommentTextChar">
    <w:name w:val="Comment Text Char"/>
    <w:basedOn w:val="DefaultParagraphFont"/>
    <w:link w:val="CommentText"/>
    <w:uiPriority w:val="99"/>
    <w:semiHidden/>
    <w:rsid w:val="00406DB7"/>
    <w:rPr>
      <w:sz w:val="20"/>
      <w:szCs w:val="20"/>
    </w:rPr>
  </w:style>
  <w:style w:type="paragraph" w:styleId="CommentSubject">
    <w:name w:val="annotation subject"/>
    <w:basedOn w:val="CommentText"/>
    <w:next w:val="CommentText"/>
    <w:link w:val="CommentSubjectChar"/>
    <w:uiPriority w:val="99"/>
    <w:semiHidden/>
    <w:unhideWhenUsed/>
    <w:rsid w:val="00406DB7"/>
    <w:rPr>
      <w:b/>
      <w:bCs/>
    </w:rPr>
  </w:style>
  <w:style w:type="character" w:customStyle="1" w:styleId="CommentSubjectChar">
    <w:name w:val="Comment Subject Char"/>
    <w:basedOn w:val="CommentTextChar"/>
    <w:link w:val="CommentSubject"/>
    <w:uiPriority w:val="99"/>
    <w:semiHidden/>
    <w:rsid w:val="00406D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3239">
      <w:bodyDiv w:val="1"/>
      <w:marLeft w:val="0"/>
      <w:marRight w:val="0"/>
      <w:marTop w:val="0"/>
      <w:marBottom w:val="0"/>
      <w:divBdr>
        <w:top w:val="none" w:sz="0" w:space="0" w:color="auto"/>
        <w:left w:val="none" w:sz="0" w:space="0" w:color="auto"/>
        <w:bottom w:val="none" w:sz="0" w:space="0" w:color="auto"/>
        <w:right w:val="none" w:sz="0" w:space="0" w:color="auto"/>
      </w:divBdr>
    </w:div>
    <w:div w:id="164902947">
      <w:bodyDiv w:val="1"/>
      <w:marLeft w:val="0"/>
      <w:marRight w:val="0"/>
      <w:marTop w:val="0"/>
      <w:marBottom w:val="0"/>
      <w:divBdr>
        <w:top w:val="none" w:sz="0" w:space="0" w:color="auto"/>
        <w:left w:val="none" w:sz="0" w:space="0" w:color="auto"/>
        <w:bottom w:val="none" w:sz="0" w:space="0" w:color="auto"/>
        <w:right w:val="none" w:sz="0" w:space="0" w:color="auto"/>
      </w:divBdr>
    </w:div>
    <w:div w:id="179321753">
      <w:bodyDiv w:val="1"/>
      <w:marLeft w:val="0"/>
      <w:marRight w:val="0"/>
      <w:marTop w:val="0"/>
      <w:marBottom w:val="0"/>
      <w:divBdr>
        <w:top w:val="none" w:sz="0" w:space="0" w:color="auto"/>
        <w:left w:val="none" w:sz="0" w:space="0" w:color="auto"/>
        <w:bottom w:val="none" w:sz="0" w:space="0" w:color="auto"/>
        <w:right w:val="none" w:sz="0" w:space="0" w:color="auto"/>
      </w:divBdr>
    </w:div>
    <w:div w:id="237325248">
      <w:bodyDiv w:val="1"/>
      <w:marLeft w:val="0"/>
      <w:marRight w:val="0"/>
      <w:marTop w:val="0"/>
      <w:marBottom w:val="0"/>
      <w:divBdr>
        <w:top w:val="none" w:sz="0" w:space="0" w:color="auto"/>
        <w:left w:val="none" w:sz="0" w:space="0" w:color="auto"/>
        <w:bottom w:val="none" w:sz="0" w:space="0" w:color="auto"/>
        <w:right w:val="none" w:sz="0" w:space="0" w:color="auto"/>
      </w:divBdr>
    </w:div>
    <w:div w:id="255482768">
      <w:bodyDiv w:val="1"/>
      <w:marLeft w:val="0"/>
      <w:marRight w:val="0"/>
      <w:marTop w:val="0"/>
      <w:marBottom w:val="0"/>
      <w:divBdr>
        <w:top w:val="none" w:sz="0" w:space="0" w:color="auto"/>
        <w:left w:val="none" w:sz="0" w:space="0" w:color="auto"/>
        <w:bottom w:val="none" w:sz="0" w:space="0" w:color="auto"/>
        <w:right w:val="none" w:sz="0" w:space="0" w:color="auto"/>
      </w:divBdr>
    </w:div>
    <w:div w:id="328751431">
      <w:bodyDiv w:val="1"/>
      <w:marLeft w:val="0"/>
      <w:marRight w:val="0"/>
      <w:marTop w:val="0"/>
      <w:marBottom w:val="0"/>
      <w:divBdr>
        <w:top w:val="none" w:sz="0" w:space="0" w:color="auto"/>
        <w:left w:val="none" w:sz="0" w:space="0" w:color="auto"/>
        <w:bottom w:val="none" w:sz="0" w:space="0" w:color="auto"/>
        <w:right w:val="none" w:sz="0" w:space="0" w:color="auto"/>
      </w:divBdr>
    </w:div>
    <w:div w:id="543759945">
      <w:bodyDiv w:val="1"/>
      <w:marLeft w:val="0"/>
      <w:marRight w:val="0"/>
      <w:marTop w:val="0"/>
      <w:marBottom w:val="0"/>
      <w:divBdr>
        <w:top w:val="none" w:sz="0" w:space="0" w:color="auto"/>
        <w:left w:val="none" w:sz="0" w:space="0" w:color="auto"/>
        <w:bottom w:val="none" w:sz="0" w:space="0" w:color="auto"/>
        <w:right w:val="none" w:sz="0" w:space="0" w:color="auto"/>
      </w:divBdr>
    </w:div>
    <w:div w:id="756635117">
      <w:bodyDiv w:val="1"/>
      <w:marLeft w:val="0"/>
      <w:marRight w:val="0"/>
      <w:marTop w:val="0"/>
      <w:marBottom w:val="0"/>
      <w:divBdr>
        <w:top w:val="none" w:sz="0" w:space="0" w:color="auto"/>
        <w:left w:val="none" w:sz="0" w:space="0" w:color="auto"/>
        <w:bottom w:val="none" w:sz="0" w:space="0" w:color="auto"/>
        <w:right w:val="none" w:sz="0" w:space="0" w:color="auto"/>
      </w:divBdr>
    </w:div>
    <w:div w:id="775364942">
      <w:bodyDiv w:val="1"/>
      <w:marLeft w:val="0"/>
      <w:marRight w:val="0"/>
      <w:marTop w:val="0"/>
      <w:marBottom w:val="0"/>
      <w:divBdr>
        <w:top w:val="none" w:sz="0" w:space="0" w:color="auto"/>
        <w:left w:val="none" w:sz="0" w:space="0" w:color="auto"/>
        <w:bottom w:val="none" w:sz="0" w:space="0" w:color="auto"/>
        <w:right w:val="none" w:sz="0" w:space="0" w:color="auto"/>
      </w:divBdr>
    </w:div>
    <w:div w:id="890193407">
      <w:bodyDiv w:val="1"/>
      <w:marLeft w:val="0"/>
      <w:marRight w:val="0"/>
      <w:marTop w:val="0"/>
      <w:marBottom w:val="0"/>
      <w:divBdr>
        <w:top w:val="none" w:sz="0" w:space="0" w:color="auto"/>
        <w:left w:val="none" w:sz="0" w:space="0" w:color="auto"/>
        <w:bottom w:val="none" w:sz="0" w:space="0" w:color="auto"/>
        <w:right w:val="none" w:sz="0" w:space="0" w:color="auto"/>
      </w:divBdr>
    </w:div>
    <w:div w:id="1039010605">
      <w:bodyDiv w:val="1"/>
      <w:marLeft w:val="0"/>
      <w:marRight w:val="0"/>
      <w:marTop w:val="0"/>
      <w:marBottom w:val="0"/>
      <w:divBdr>
        <w:top w:val="none" w:sz="0" w:space="0" w:color="auto"/>
        <w:left w:val="none" w:sz="0" w:space="0" w:color="auto"/>
        <w:bottom w:val="none" w:sz="0" w:space="0" w:color="auto"/>
        <w:right w:val="none" w:sz="0" w:space="0" w:color="auto"/>
      </w:divBdr>
    </w:div>
    <w:div w:id="1043140122">
      <w:bodyDiv w:val="1"/>
      <w:marLeft w:val="0"/>
      <w:marRight w:val="0"/>
      <w:marTop w:val="0"/>
      <w:marBottom w:val="0"/>
      <w:divBdr>
        <w:top w:val="none" w:sz="0" w:space="0" w:color="auto"/>
        <w:left w:val="none" w:sz="0" w:space="0" w:color="auto"/>
        <w:bottom w:val="none" w:sz="0" w:space="0" w:color="auto"/>
        <w:right w:val="none" w:sz="0" w:space="0" w:color="auto"/>
      </w:divBdr>
    </w:div>
    <w:div w:id="1131168742">
      <w:bodyDiv w:val="1"/>
      <w:marLeft w:val="0"/>
      <w:marRight w:val="0"/>
      <w:marTop w:val="0"/>
      <w:marBottom w:val="0"/>
      <w:divBdr>
        <w:top w:val="none" w:sz="0" w:space="0" w:color="auto"/>
        <w:left w:val="none" w:sz="0" w:space="0" w:color="auto"/>
        <w:bottom w:val="none" w:sz="0" w:space="0" w:color="auto"/>
        <w:right w:val="none" w:sz="0" w:space="0" w:color="auto"/>
      </w:divBdr>
    </w:div>
    <w:div w:id="1354260718">
      <w:bodyDiv w:val="1"/>
      <w:marLeft w:val="0"/>
      <w:marRight w:val="0"/>
      <w:marTop w:val="0"/>
      <w:marBottom w:val="0"/>
      <w:divBdr>
        <w:top w:val="none" w:sz="0" w:space="0" w:color="auto"/>
        <w:left w:val="none" w:sz="0" w:space="0" w:color="auto"/>
        <w:bottom w:val="none" w:sz="0" w:space="0" w:color="auto"/>
        <w:right w:val="none" w:sz="0" w:space="0" w:color="auto"/>
      </w:divBdr>
    </w:div>
    <w:div w:id="1427774305">
      <w:bodyDiv w:val="1"/>
      <w:marLeft w:val="0"/>
      <w:marRight w:val="0"/>
      <w:marTop w:val="0"/>
      <w:marBottom w:val="0"/>
      <w:divBdr>
        <w:top w:val="none" w:sz="0" w:space="0" w:color="auto"/>
        <w:left w:val="none" w:sz="0" w:space="0" w:color="auto"/>
        <w:bottom w:val="none" w:sz="0" w:space="0" w:color="auto"/>
        <w:right w:val="none" w:sz="0" w:space="0" w:color="auto"/>
      </w:divBdr>
    </w:div>
    <w:div w:id="1746225389">
      <w:bodyDiv w:val="1"/>
      <w:marLeft w:val="0"/>
      <w:marRight w:val="0"/>
      <w:marTop w:val="0"/>
      <w:marBottom w:val="0"/>
      <w:divBdr>
        <w:top w:val="none" w:sz="0" w:space="0" w:color="auto"/>
        <w:left w:val="none" w:sz="0" w:space="0" w:color="auto"/>
        <w:bottom w:val="none" w:sz="0" w:space="0" w:color="auto"/>
        <w:right w:val="none" w:sz="0" w:space="0" w:color="auto"/>
      </w:divBdr>
    </w:div>
    <w:div w:id="1815564942">
      <w:bodyDiv w:val="1"/>
      <w:marLeft w:val="0"/>
      <w:marRight w:val="0"/>
      <w:marTop w:val="0"/>
      <w:marBottom w:val="0"/>
      <w:divBdr>
        <w:top w:val="none" w:sz="0" w:space="0" w:color="auto"/>
        <w:left w:val="none" w:sz="0" w:space="0" w:color="auto"/>
        <w:bottom w:val="none" w:sz="0" w:space="0" w:color="auto"/>
        <w:right w:val="none" w:sz="0" w:space="0" w:color="auto"/>
      </w:divBdr>
    </w:div>
    <w:div w:id="1840656571">
      <w:bodyDiv w:val="1"/>
      <w:marLeft w:val="0"/>
      <w:marRight w:val="0"/>
      <w:marTop w:val="0"/>
      <w:marBottom w:val="0"/>
      <w:divBdr>
        <w:top w:val="none" w:sz="0" w:space="0" w:color="auto"/>
        <w:left w:val="none" w:sz="0" w:space="0" w:color="auto"/>
        <w:bottom w:val="none" w:sz="0" w:space="0" w:color="auto"/>
        <w:right w:val="none" w:sz="0" w:space="0" w:color="auto"/>
      </w:divBdr>
    </w:div>
    <w:div w:id="1904176393">
      <w:bodyDiv w:val="1"/>
      <w:marLeft w:val="0"/>
      <w:marRight w:val="0"/>
      <w:marTop w:val="0"/>
      <w:marBottom w:val="0"/>
      <w:divBdr>
        <w:top w:val="none" w:sz="0" w:space="0" w:color="auto"/>
        <w:left w:val="none" w:sz="0" w:space="0" w:color="auto"/>
        <w:bottom w:val="none" w:sz="0" w:space="0" w:color="auto"/>
        <w:right w:val="none" w:sz="0" w:space="0" w:color="auto"/>
      </w:divBdr>
    </w:div>
    <w:div w:id="1952466432">
      <w:bodyDiv w:val="1"/>
      <w:marLeft w:val="0"/>
      <w:marRight w:val="0"/>
      <w:marTop w:val="0"/>
      <w:marBottom w:val="0"/>
      <w:divBdr>
        <w:top w:val="none" w:sz="0" w:space="0" w:color="auto"/>
        <w:left w:val="none" w:sz="0" w:space="0" w:color="auto"/>
        <w:bottom w:val="none" w:sz="0" w:space="0" w:color="auto"/>
        <w:right w:val="none" w:sz="0" w:space="0" w:color="auto"/>
      </w:divBdr>
    </w:div>
    <w:div w:id="206151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2069</Words>
  <Characters>11798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Highton</dc:creator>
  <cp:keywords/>
  <dc:description/>
  <cp:lastModifiedBy>Dawn Highton</cp:lastModifiedBy>
  <cp:revision>3</cp:revision>
  <cp:lastPrinted>2022-05-11T12:16:00Z</cp:lastPrinted>
  <dcterms:created xsi:type="dcterms:W3CDTF">2022-05-12T14:45:00Z</dcterms:created>
  <dcterms:modified xsi:type="dcterms:W3CDTF">2022-05-12T15:18:00Z</dcterms:modified>
</cp:coreProperties>
</file>